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PAG (Bayern) — Richtervorbehalte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Vorbehaltlich anderer gesetzlicher Regelungen bedürfen folgende polizeiliche Maßnahmen einer gerichtlichen Entscheidung:</w:t>
      </w:r>
    </w:p>
    <w:p>
      <w:r>
        <w:t xml:space="preserve">1. Entnahme von Körperzellen und molekulargenetische Untersuchung zur Feststellung von DNA-Identifizierungs-Mustern (Art. 14 Abs. 3),</w:t>
      </w:r>
    </w:p>
    <w:p>
      <w:r>
        <w:t xml:space="preserve">2. molekulargenetische Untersuchung von Proben nach Art. 14 Abs. 4 Satz 2 Nr. 1 und 2 zur Feststellung der Identität einer hilflosen Person oder einer Leiche (Art. 14 Abs. 4 Satz 2 Nr. 3),</w:t>
      </w:r>
    </w:p>
    <w:p>
      <w:r>
        <w:t xml:space="preserve">3. Durchsuchung von Wohnungen (Art. 24 Abs. 1),</w:t>
      </w:r>
    </w:p>
    <w:p>
      <w:r>
        <w:t xml:space="preserve">4. Verlängerung der Sicherstellung (Art. 28 Abs. 3 Satz 2),</w:t>
      </w:r>
    </w:p>
    <w:p>
      <w:r>
        <w:t xml:space="preserve">5. molekulargenetische Untersuchung aufgefundenen Spurenmaterials unbekannter Herkunft (Art. 32a Abs. 1 Satz 1),</w:t>
      </w:r>
    </w:p>
    <w:p>
      <w:r>
        <w:t xml:space="preserve">6. Verwertung von automatisierten Bild- und Tonaufzeichnungen körpernah getragener Aufzeichnungsgeräte in Wohnungen (Art. 33 Abs. 4 Satz 5),</w:t>
      </w:r>
    </w:p>
    <w:p>
      <w:r>
        <w:t xml:space="preserve">7. elektronische Aufenthaltsüberwachung und Erstellung eines Bewegungsprofils (Art. 34 Abs. 1 Satz 1 und Abs. 3),</w:t>
      </w:r>
    </w:p>
    <w:p>
      <w:r>
        <w:t xml:space="preserve">8. Postsicherstellung (Art. 35 Abs. 1 Satz 1), Öffnung ausgelieferter Postsendungen (Art. 35 Abs. 3 Satz 1 und Abs. 4 Satz 2) sowie Übertragung der Befugnis der Öffnung auf die Polizei (Art. 35 Abs. 3 Satz 2),</w:t>
      </w:r>
    </w:p>
    <w:p>
      <w:r>
        <w:t xml:space="preserve">9. längerfristige Observationen (Art. 36 Abs. 3),</w:t>
      </w:r>
    </w:p>
    <w:p>
      <w:r>
        <w:t xml:space="preserve">10. verdeckter Einsatz technischer Mittel zum Abhören oder zur Aufzeichnung des außerhalb von Wohnungen nichtöffentlich gesprochenen Wortes (Art. 36 Abs. 3),</w:t>
      </w:r>
    </w:p>
    <w:p>
      <w:r>
        <w:t xml:space="preserve">11. verdeckter Einsatz technischer Mittel zur Feststellung des Standortes oder der Bewegungen einer Person oder einer beweglichen Sache mit dem Ziel der Erstellung eines Bewegungsbildes (Art. 36 Abs. 3),</w:t>
      </w:r>
    </w:p>
    <w:p>
      <w:r>
        <w:t xml:space="preserve">12. Einsatz verdeckter Ermittler gegen eine bestimmte Person oder in der Absicht, eine nicht allgemein zugängliche Wohnung zu betreten (Art. 37 Abs. 2 Satz 1),</w:t>
      </w:r>
    </w:p>
    <w:p>
      <w:r>
        <w:t xml:space="preserve">13. Einsatz von Vertrauenspersonen gegen eine bestimmte Person oder in der Absicht, eine nicht allgemein zugängliche Wohnung zu betreten (Art. 38 Abs. 2 Satz 1),</w:t>
      </w:r>
    </w:p>
    <w:p>
      <w:r>
        <w:t xml:space="preserve">14. Einsatz technischer Mittel in Wohnungen (Art. 41 Abs. 1 Satz 1), sowie Freigabe oder Löschung von hieraus erlangten Daten (Art. 41 Abs. 5 Satz 1 und 4),</w:t>
      </w:r>
    </w:p>
    <w:p>
      <w:r>
        <w:t xml:space="preserve">15. Feststellung der Rechtmäßigkeit der Anordnung eines verdeckten Einsatzes technischer Mittel in Wohnungen im Fall einer beabsichtigten anderweitigen Verwendung der hierbei erlangten Erkenntnisse (Art. 41 Abs. 6 Satz 2),</w:t>
      </w:r>
    </w:p>
    <w:p>
      <w:r>
        <w:t xml:space="preserve">16. Eingriffe in den Telekommunikationsbereich nach Art. 42 Abs. 1 Satz 1, Abs. 2 Satz 1, Abs. 3 Satz 1, Abs. 4 Satz 1 und Abs. 5 Satz 1 und 3, sowie Freigabe oder Löschung von nach Art. 42 Abs. 1 erlangten personenbezogenen Daten (Art. 42 Abs. 6 in Verbindung mit Art. 41 Abs. 5),</w:t>
      </w:r>
    </w:p>
    <w:p>
      <w:r>
        <w:t xml:space="preserve">17. Verpflichtung von Diensteanbietern zur Übermittlung von Daten und zur Auskunft (Art. 43 Abs. 2 Satz 1, Abs. 4 Satz 1, Abs. 5 Satz 5),</w:t>
      </w:r>
    </w:p>
    <w:p>
      <w:r>
        <w:t xml:space="preserve">18. verdeckter Zugriff auf informationstechnische Systeme (Art. 45 Abs. 1 Satz 1 und Abs. 2 Satz 1) sowie Freigabe oder Löschung von hieraus erlangten Daten (Art. 45 Abs. 4 in Verbindung mit Art. 41 Abs. 5),</w:t>
      </w:r>
    </w:p>
    <w:p>
      <w:r>
        <w:t xml:space="preserve">19. Rasterfahndung (Art. 46 Abs. 1 Satz 1),</w:t>
      </w:r>
    </w:p>
    <w:p>
      <w:r>
        <w:t xml:space="preserve">20. Einsatz von unbemannten Luftfahrtsystemen, soweit eine damit verbundene Maßnahme der Datenerhebung einer Anordnung durch den Richter bedarf (Art. 47 Abs. 3),</w:t>
      </w:r>
    </w:p>
    <w:p>
      <w:r>
        <w:t xml:space="preserve">21. Verpflichtung Dritter zur Überwindung besonderer Sicherungen oder zur Mitwirkung hieran (Art. 47a Abs. 1 Satz 1),</w:t>
      </w:r>
    </w:p>
    <w:p>
      <w:r>
        <w:t xml:space="preserve">22. weitergehende Zurückstellung oder Unterbleiben der Benachrichtigung von Personen nach erfolgter Datenerhebung (Art. 50 Abs. 4 Satz 1 und 4),</w:t>
      </w:r>
    </w:p>
    <w:p>
      <w:r>
        <w:t xml:space="preserve">23. Freigabe von erhobenen Daten, ohne dass die Voraussetzungen für ihre Erhebung vorgelegen haben (Art. 53 Abs. 3 Satz 1 Nr. 2),</w:t>
      </w:r>
    </w:p>
    <w:p>
      <w:r>
        <w:t xml:space="preserve">24. Bestätigung der Maßnahme, die bei Gefahr im Verzug durch Polizeivollzugsbeamte angeordnet wurde (Art. 95 Abs. 5 Satz 1),</w:t>
      </w:r>
    </w:p>
    <w:p>
      <w:r>
        <w:t xml:space="preserve">25. Zulässigkeit und Fortdauer der Freiheitsentziehung (Art. 97 Abs. 1 und Abs. 2 Satz 4).</w:t>
      </w:r>
    </w:p>
    <w:p>
      <w:r>
        <w:rPr>
          <w:color w:val="555555"/>
          <w:sz w:val="17"/>
        </w:rPr>
        <w:t xml:space="preserve">Zitiervorschlag: Art 94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