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PAG (Bayern) — Opferschutzmaßnahmen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Person, die Opfer einer Straftat wurde oder bei der davon auszugehen ist, dass sie in absehbarer Zeit Opfer einer Straftat werden kann, dürfen auf Anordnung der in Art. 36 Abs. 4 Satz 1 und 2 genannten Personen Urkunden und sonstige Dokumente zum Aufbau und zur Aufrechterhaltung einer vorübergehend geänderten Identität hergestellt, vorübergehend verändert und die entsprechend geänderten Daten verarbeitet werden, wenn</w:t>
      </w:r>
    </w:p>
    <w:p>
      <w:r>
        <w:t xml:space="preserve">1. dies zu ihrem Schutz vor einer Gefahr für ein in Art. 11a Abs. 2 Nr. 2 oder Nr. 3 genanntes bedeutendes Rechtsgut erforderlich ist und</w:t>
      </w:r>
    </w:p>
    <w:p>
      <w:r>
        <w:t xml:space="preserve">2. die Person für diese Schutzmaßnahme geeignet ist.</w:t>
      </w:r>
    </w:p>
    <w:p>
      <w:r>
        <w:t xml:space="preserve">Die zu schützende Person darf unter der vorübergehend geänderten Identität am Rechtsverkehr teilnehmen.</w:t>
      </w:r>
    </w:p>
    <w:p>
      <w:r>
        <w:t xml:space="preserve">(2) Soweit erforderlich, können Maßnahmen nach Abs. 1 auch auf Angehörige einer in Abs. 1 genannten Person oder ihr sonst nahe stehende Personen erstreckt werden.</w:t>
      </w:r>
    </w:p>
    <w:p>
      <w:r>
        <w:t xml:space="preserve">(3) Art. 37 Abs. 4 Satz 1 und 3 findet auf die mit dem Schutz betrauten Polizeibeamten Anwendung, soweit dies zur Vorbereitung, Durchführung, Lenkung oder Absicherung der Schutzmaßnahmen erforderlich ist.</w:t>
      </w:r>
    </w:p>
    <w:p>
      <w:r>
        <w:rPr>
          <w:color w:val="555555"/>
          <w:sz w:val="17"/>
        </w:rPr>
        <w:t xml:space="preserve">Zitiervorschlag: Art 91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