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90 PAG (Bayern) — Rechtsweg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Entschädigungsansprüche nach Art. 87 entscheiden im Streitfall die ordentlichen Gerichte nach den Vorschriften der ZPO.</w:t>
      </w:r>
    </w:p>
    <w:p>
      <w:r>
        <w:t xml:space="preserve">(2) Über die Erstattungsansprüche nach Art. 88 und die Ersatzansprüche nach Art. 89 entscheiden im Streitfall die Verwaltungsgerichte nach den Vorschriften der Verwaltungsgerichtsordnung.</w:t>
      </w:r>
    </w:p>
    <w:p>
      <w:r>
        <w:rPr>
          <w:color w:val="555555"/>
          <w:sz w:val="17"/>
        </w:rPr>
        <w:t xml:space="preserve">Zitiervorschlag: Art 90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