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PAG (Bayern) — Unmittelbare Ausführung einer Maßnahme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Polizei kann eine Maßnahme selbst oder durch einen Beauftragten ausführen, wenn der Zweck der Maßnahme durch Inanspruchnahme der nach den Art. 7 oder 8 Verantwortlichen nicht oder nicht rechtzeitig erreicht werden kann. Der von der Maßnahme Betroffene ist unverzüglich zu unterrichten.</w:t>
      </w:r>
    </w:p>
    <w:p>
      <w:r>
        <w:t xml:space="preserve">(2) Für die unmittelbare Ausführung einer Maßnahme werden von den nach Art. 7 oder 8 Verantwortlichen Kosten erhoben.</w:t>
      </w:r>
    </w:p>
    <w:p>
      <w:r>
        <w:rPr>
          <w:color w:val="555555"/>
          <w:sz w:val="17"/>
        </w:rPr>
        <w:t xml:space="preserve">Zitiervorschlag: Art 9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