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89 PAG (Bayern) — Ersatzanspruch</w:t>
      </w:r>
    </w:p>
    <w:p>
      <w:r>
        <w:rPr>
          <w:color w:val="555555"/>
          <w:sz w:val="18"/>
        </w:rPr>
        <w:t xml:space="preserve">Polizeiaufgabengesetz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Hat der nach Art. 87 Abs. 6 entschädigungspflichtige Polizeiträger keinen Erstattungsanspruch nach Art. 88, so kann er von der nach Art. 7 oder 8 verantwortlichen Person Ersatz der notwendigen Aufwendungen verlangen.</w:t>
      </w:r>
    </w:p>
    <w:p>
      <w:r>
        <w:t xml:space="preserve">(2) Hat die nach Art. 88 erstattungspflichtige Körperschaft ihre Verpflichtung erfüllt, so kann sie von dem nach Art. 7 oder 8 Verantwortlichen Ersatz der notwendigen Aufwendungen verlangen.</w:t>
      </w:r>
    </w:p>
    <w:p>
      <w:r>
        <w:rPr>
          <w:color w:val="555555"/>
          <w:sz w:val="17"/>
        </w:rPr>
        <w:t xml:space="preserve">Zitiervorschlag: Art 89 PAG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https://recht.nulegal.eu/gesetze/PAG/89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