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88 PAG (Bayern) — Erstattungsanspruch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die Polizei auf Weisung oder Ersuchen einer nichtstaatlichen Behörde tätig geworden, so ist die Körperschaft, der die Behörde angehört, dem nach Art. 87 Abs. 6 Entschädigungspflichtigen erstattungspflichtig, soweit nicht der Schaden durch ein Verschulden der Polizei bei Durchführung der Maßnahme entstanden ist.</w:t>
      </w:r>
    </w:p>
    <w:p>
      <w:r>
        <w:t xml:space="preserve">(2) Die erstattungspflichtige Körperschaft hat dem entschädigungspflichtigen Polizeiträger die auf Grund des Art. 87 geleisteten notwendigen Aufwendungen zu erstatten.</w:t>
      </w:r>
    </w:p>
    <w:p>
      <w:r>
        <w:rPr>
          <w:color w:val="555555"/>
          <w:sz w:val="17"/>
        </w:rPr>
        <w:t xml:space="preserve">Zitiervorschlag: Art 88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