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PAG (Bayern) — Entschädigungsanspruch</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Erleidet jemand, gegen den Maßnahmen nach Art. 10 getroffen worden sind, einen Schaden, so ist dem Geschädigten dafür Entschädigung zu leisten, soweit der Schaden durch die polizeiliche Maßnahme entstanden ist und der Geschädigte nicht von einem anderen Ersatz zu erlangen vermag.</w:t>
      </w:r>
    </w:p>
    <w:p>
      <w:r>
        <w:t xml:space="preserve">(2) Das gleiche gilt, wenn jemand, der nicht nach den Art. 7 oder 8 verantwortlich ist und gegen den nicht Maßnahmen nach Art. 10 gerichtet worden sind, durch eine polizeiliche Maßnahme getötet oder verletzt wird oder einen nicht zumutbaren sonstigen Schaden erleidet. Die Entschädigung ist auch zu leisten, soweit die Maßnahme auf einer richterlichen Anordnung beruht.</w:t>
      </w:r>
    </w:p>
    <w:p>
      <w:r>
        <w:t xml:space="preserve">(3) Im Fall der Tötung ist dem Unterhaltsberechtigten in entsprechender Anwendung von § 844 Abs. 2 BGB Entschädigung zu leisten.</w:t>
      </w:r>
    </w:p>
    <w:p>
      <w:r>
        <w:t xml:space="preserve">(4) Ein Entschädigungsanspruch nach den Abs. 1 bis 3 besteht nicht, soweit die Maßnahme auch unmittelbar dem Schutz der Person oder des Vermögens des Geschädigten gedient hat.</w:t>
      </w:r>
    </w:p>
    <w:p>
      <w:r>
        <w:t xml:space="preserve">(5) Ist die Entschädigungspflicht aus Anlaß von Maßnahmen der Polizei in besonderen gesetzlichen Vorschriften geregelt, so gelten diese Vorschriften.</w:t>
      </w:r>
    </w:p>
    <w:p>
      <w:r>
        <w:t xml:space="preserve">(6) Entschädigungspflichtig ist der Träger der Polizei, welche die zur Entschädigung verpflichtende Maßnahme getroffen hat.</w:t>
      </w:r>
    </w:p>
    <w:p>
      <w:r>
        <w:t xml:space="preserve">(7) Entschädigung nach den Abs. 1 bis 3 wird für Vermögensschäden gewährt; dabei sind Vermögensvorteile, die dem Berechtigten aus der zur Entschädigung verpflichtenden Maßnahme entstehen, zu berücksichtigen. Bei Freiheitsentziehungen wird Entschädigung auch für Nichtvermögensschäden entsprechend § 7 Abs. 3 des Gesetzes über die Entschädigung für Strafverfolgungsmaßnahmen (StrEG) gewährt. Ein mitwirkendes Verschulden des Berechtigten ist zu berücksichtigen. Die Entschädigung wird in Geld gewährt.</w:t>
      </w:r>
    </w:p>
    <w:p>
      <w:r>
        <w:rPr>
          <w:color w:val="555555"/>
          <w:sz w:val="17"/>
        </w:rPr>
        <w:t xml:space="preserve">Zitiervorschlag: Art 87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https://recht.nulegal.eu/gesetze/PAG/87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