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82 PAG (Bayern) — Fesselung von Personen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Person, die nach diesem Gesetz oder anderen Rechtsvorschriften festgehalten wird, darf gefesselt werden, wenn Tatsachen die Annahme rechtfertigen, daß sie</w:t>
      </w:r>
    </w:p>
    <w:p>
      <w:r>
        <w:t xml:space="preserve">1. Polizeibeamte oder Dritte angreifen, Widerstand leisten oder Sachen beschädigen wird,</w:t>
      </w:r>
    </w:p>
    <w:p>
      <w:r>
        <w:t xml:space="preserve">2. fliehen wird oder befreit werden soll oder</w:t>
      </w:r>
    </w:p>
    <w:p>
      <w:r>
        <w:t xml:space="preserve">3. sich töten oder verletzen wird.</w:t>
      </w:r>
    </w:p>
    <w:p>
      <w:r>
        <w:rPr>
          <w:color w:val="555555"/>
          <w:sz w:val="17"/>
        </w:rPr>
        <w:t xml:space="preserve">Zitiervorschlag: Art 82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https://recht.nulegal.eu/gesetze/PAG/82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