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PAG (Bayern) — Rechtliche Grundlagen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Polizei nach diesem Gesetz oder anderen Rechtsvorschriften zur Anwendung unmittelbaren Zwangs befugt, gelten für die Art und Weise der Anwendung die Art. 78 bis 86 und, soweit sich aus diesen nichts Abweichendes ergibt, die übrigen Vorschriften dieses Gesetzes.</w:t>
      </w:r>
    </w:p>
    <w:p>
      <w:r>
        <w:t xml:space="preserve">(2) Die zivil- und strafrechtlichen Wirkungen nach den Vorschriften über Notwehr und Notstand bleiben unberührt.</w:t>
      </w:r>
    </w:p>
    <w:p>
      <w:r>
        <w:rPr>
          <w:color w:val="555555"/>
          <w:sz w:val="17"/>
        </w:rPr>
        <w:t xml:space="preserve">Zitiervorschlag: Art 77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