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PAG (Bayern) — Androhung der Zwangsmittel</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Zwangsmittel sind möglichst schriftlich anzudrohen. Dem Betroffenen ist in der Androhung zur Erfüllung der Verpflichtung eine angemessene Frist zu bestimmen; eine Frist braucht nicht bestimmt zu werden, wenn eine Duldung oder Unterlassung erzwungen werden soll. Von der Androhung kann abgesehen werden, wenn die Umstände sie nicht zulassen, insbesondere wenn die sofortige Anwendung des Zwangsmittels zur Abwehr einer Gefahr notwendig ist.</w:t>
      </w:r>
    </w:p>
    <w:p>
      <w:r>
        <w:t xml:space="preserve">(2) Die Androhung kann mit dem Verwaltungsakt verbunden werden, durch den die Handlung, Duldung oder Unterlassung aufgegeben wird. Sie soll mit ihm verbunden werden, wenn ein Rechtsmittel keine aufschiebende Wirkung hat.</w:t>
      </w:r>
    </w:p>
    <w:p>
      <w:r>
        <w:t xml:space="preserve">(3) Die Androhung muß sich auf bestimmte Zwangsmittel beziehen. Werden mehrere Zwangsmittel angedroht, ist anzugeben, in welcher Reihenfolge sie angewandt werden sollen.</w:t>
      </w:r>
    </w:p>
    <w:p>
      <w:r>
        <w:t xml:space="preserve">(4) Wird die Ersatzvornahme angedroht, so sollen in der Androhung die voraussichtlichen Kosten angegeben werden.</w:t>
      </w:r>
    </w:p>
    <w:p>
      <w:r>
        <w:t xml:space="preserve">(5) Das Zwangsgeld ist in bestimmter Höhe anzudrohen.</w:t>
      </w:r>
    </w:p>
    <w:p>
      <w:r>
        <w:t xml:space="preserve">(6) Die Androhung ist zuzustellen. Das gilt auch dann, wenn sie mit dem zugrunde liegenden Verwaltungsakt verbunden ist und für ihn keine Zustellung vorgeschrieben ist.</w:t>
      </w:r>
    </w:p>
    <w:p>
      <w:r>
        <w:t xml:space="preserve">(7) Für die Androhung werden Kosten erhoben. Dies gilt nicht, wenn nach Abs. 2 Satz 1 verfahren wird und der Verwaltungsakt, durch den die Handlung, Duldung oder Unterlassung aufgegeben wird, kostenfrei ist. Im übrigen gilt das Kostengesetz.</w:t>
      </w:r>
    </w:p>
    <w:p>
      <w:r>
        <w:rPr>
          <w:color w:val="555555"/>
          <w:sz w:val="17"/>
        </w:rPr>
        <w:t xml:space="preserve">Zitiervorschlag: Art 76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