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PAG (Bayern) — Unmittelbarer Zwang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unmittelbaren Zwang anwenden, wenn andere Zwangsmittel nicht in Betracht kommen oder keinen Erfolg versprechen oder unzweckmäßig sind. Für die Art und Weise der Anwendung unmittelbaren Zwangs gilt der 2. Unterabschnitt.</w:t>
      </w:r>
    </w:p>
    <w:p>
      <w:r>
        <w:t xml:space="preserve">(2) Unmittelbarer Zwang zur Abgabe einer Erklärung ist ausgeschlossen.</w:t>
      </w:r>
    </w:p>
    <w:p>
      <w:r>
        <w:t xml:space="preserve">(3) Für die Anwendung unmittelbaren Zwangs werden Kosten erhoben. Im übrigen gilt das Kostengesetz.</w:t>
      </w:r>
    </w:p>
    <w:p>
      <w:r>
        <w:rPr>
          <w:color w:val="555555"/>
          <w:sz w:val="17"/>
        </w:rPr>
        <w:t xml:space="preserve">Zitiervorschlag: Art 75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