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PAG (Bayern) — Zulässigkeit des Verwaltungszwangs</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Verwaltungsakt der Polizei, der auf die Vornahme einer Handlung oder auf Duldung oder Unterlassung gerichtet ist, kann mit Zwangsmitteln durchgesetzt werden, wenn er unanfechtbar ist oder wenn ein Rechtsmittel keine aufschiebende Wirkung hat.</w:t>
      </w:r>
    </w:p>
    <w:p>
      <w:r>
        <w:t xml:space="preserve">(2) Der Verwaltungszwang kann ohne vorausgehenden Verwaltungsakt angewendet werden, wenn das zur Abwehr einer Gefahr notwendig ist, insbesondere weil Maßnahmen gegen Personen nach den Art. 7 bis 10 nicht oder nicht rechtzeitig möglich sind oder keinen Erfolg versprechen, und die Polizei hierbei innerhalb ihrer Befugnisse handelt.</w:t>
      </w:r>
    </w:p>
    <w:p>
      <w:r>
        <w:rPr>
          <w:color w:val="555555"/>
          <w:sz w:val="17"/>
        </w:rPr>
        <w:t xml:space="preserve">Zitiervorschlag: Art 70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