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69 PAG (Bayern) — Vollzugshilfe bei Freiheitsentziehung</w:t>
      </w:r>
    </w:p>
    <w:p>
      <w:r>
        <w:rPr>
          <w:color w:val="555555"/>
          <w:sz w:val="18"/>
        </w:rPr>
        <w:t xml:space="preserve">Polizeiaufgabengesetz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Hat das Vollzugshilfeersuchen eine Freiheitsentziehung zum Inhalt, ist auch die richterliche Entscheidung über die Zulässigkeit der Freiheitsentziehung vorzulegen oder in dem Ersuchen zu bezeichnen.</w:t>
      </w:r>
    </w:p>
    <w:p>
      <w:r>
        <w:t xml:space="preserve">(2) Ist eine vorherige richterliche Entscheidung nicht ergangen, hat die Polizei die festgehaltene Person zu entlassen, wenn die ersuchende Behörde diese nicht übernimmt oder die richterliche Entscheidung nicht unverzüglich nachträglich beantragt.</w:t>
      </w:r>
    </w:p>
    <w:p>
      <w:r>
        <w:t xml:space="preserve">(3) Die Art. 19 und 20 gelten entsprechend.</w:t>
      </w:r>
    </w:p>
    <w:p>
      <w:r>
        <w:rPr>
          <w:color w:val="555555"/>
          <w:sz w:val="17"/>
        </w:rPr>
        <w:t xml:space="preserve">Zitiervorschlag: Art 69 PAG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https://recht.nulegal.eu/gesetze/PAG/69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