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PAG (Bayern) — Verfahren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Vollzugshilfeersuchen sind schriftlich zu stellen. Sie haben den Grund und die Rechtsgrundlage der Maßnahme anzugeben.</w:t>
      </w:r>
    </w:p>
    <w:p>
      <w:r>
        <w:t xml:space="preserve">(2) In Eilfällen kann das Ersuchen formlos gestellt werden. Es ist jedoch auf Verlangen unverzüglich schriftlich zu bestätigen.</w:t>
      </w:r>
    </w:p>
    <w:p>
      <w:r>
        <w:t xml:space="preserve">(3) Vollzugshilfeersuchen sollen an die unterste Polizeidienststelle gerichtet werden, deren Dienstbereich für den Vollzug des Ersuchens ausreicht. Weisungen der Sicherheitsbehörden gehen dem Ersuchen anderer Verwaltungsbehörden vor.</w:t>
      </w:r>
    </w:p>
    <w:p>
      <w:r>
        <w:t xml:space="preserve">(4) Die ersuchende Behörde ist von der Ausführung des Ersuchens zu verständigen.</w:t>
      </w:r>
    </w:p>
    <w:p>
      <w:r>
        <w:rPr>
          <w:color w:val="555555"/>
          <w:sz w:val="17"/>
        </w:rPr>
        <w:t xml:space="preserve">Zitiervorschlag: Art 68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