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PAG (Bayern) — Übermittlung an öffentliche Stellen der Mitgliedstaaten und an Organisationen der Europäischen Union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Polizei kann personenbezogene Daten unter den gleichen Voraussetzungen wie im Inland an Behörden und sonstige öffentliche Stellen</w:t>
      </w:r>
    </w:p>
    <w:p>
      <w:r>
        <w:t xml:space="preserve">1. eines Mitgliedstaats oder einer Organisation der Europäischen Union oder</w:t>
      </w:r>
    </w:p>
    <w:p>
      <w:r>
        <w:t xml:space="preserve">2. eines Staats, der die Bestimmungen des Schengen-Besitzstandes auf Grund eines Assoziierungsübereinkommens mit der Europäischen Union über die Umsetzung, Anwendung und Entwicklung des Schengen-Besitzstandes anwendet (Schengenassoziierter Staat)</w:t>
      </w:r>
    </w:p>
    <w:p>
      <w:r>
        <w:t xml:space="preserve">übermitteln.</w:t>
      </w:r>
    </w:p>
    <w:p>
      <w:r>
        <w:rPr>
          <w:color w:val="555555"/>
          <w:sz w:val="17"/>
        </w:rPr>
        <w:t xml:space="preserve">Zitiervorschlag: Art 57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