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PAG (Bayern) — Benachrichtigungspflichten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folgenden Maßnahmen sind die dort jeweils benannten Personen unverzüglich zu benachrichtigen, sobald dies ohne Gefährdung des Zwecks der Maßnahme, der eingesetzten Polizeibeamten oder Vertrauenspersonen oder der in der jeweiligen Befugnisnorm genannten Rechtsgüter geschehen kann:</w:t>
      </w:r>
    </w:p>
    <w:p>
      <w:r>
        <w:t xml:space="preserve">1. bei elektronischer Aufenthaltsüberwachung nach Art. 34 Abs. 1 die Adressaten der Maßnahme, wenn Bewegungsbilder nach Art. 34 Abs. 3 erstellt wurden, wobei die Benachrichtigung spätestens zwei Monate nach deren Beendigung zu erfolgen hat,</w:t>
      </w:r>
    </w:p>
    <w:p>
      <w:r>
        <w:t xml:space="preserve">2. bei Postsicherstellung nach Art. 35 Abs. 1 der Absender und der Adressat der Postsendung,</w:t>
      </w:r>
    </w:p>
    <w:p>
      <w:r>
        <w:t xml:space="preserve">3. bei Einsatz besonderer Mittel der Datenerhebung nach Art. 36 Abs. 2, Einsatz Verdeckter Ermittler nach Art. 37 Abs. 1 oder Einsatz von Vertrauenspersonen nach Art. 38 Abs. 1</w:t>
      </w:r>
    </w:p>
    <w:p>
      <w:r>
        <w:t xml:space="preserve">a) die Adressaten der Maßnahme,</w:t>
      </w:r>
    </w:p>
    <w:p>
      <w:r>
        <w:t xml:space="preserve">b) diejenigen, deren personenbezogene Daten erhoben und weiterverarbeitet wurden, und</w:t>
      </w:r>
    </w:p>
    <w:p>
      <w:r>
        <w:t xml:space="preserve">c) diejenigen, deren nicht allgemein zugängliche Wohnung betreten wurde,</w:t>
      </w:r>
    </w:p>
    <w:p>
      <w:r>
        <w:t xml:space="preserve">4. bei Ausschreibung zur polizeilichen Beobachtung oder gezielten Kontrolle nach Art. 40</w:t>
      </w:r>
    </w:p>
    <w:p>
      <w:r>
        <w:t xml:space="preserve">a) die Adressaten der Maßnahme und</w:t>
      </w:r>
    </w:p>
    <w:p>
      <w:r>
        <w:t xml:space="preserve">b) diejenigen, deren personenbezogene Daten erhoben und weiterverarbeitet wurden,</w:t>
      </w:r>
    </w:p>
    <w:p>
      <w:r>
        <w:t xml:space="preserve">5. bei Einsatz technischer Mittel in Wohnungen nach Art. 41 Abs. 1 Satz 1 die von der Maßnahme Betroffenen, auch wenn die Maßnahme nach Art. 41 Abs. 6 als Personenschutzmaßnahme erfolgt ist,</w:t>
      </w:r>
    </w:p>
    <w:p>
      <w:r>
        <w:t xml:space="preserve">6. bei Eingriffen in den Telekommunikationsbereich nach Art. 42 Abs. 1, 3 und 5, Inanspruchnahme von Diensteanbietern nach Art. 43 Abs. 2, 4, 5 Satz 2 und 4 sowie Abs. 6 oder verdecktem Zugriff auf informationstechnische Systeme nach Art. 45 Abs. 1 und 2</w:t>
      </w:r>
    </w:p>
    <w:p>
      <w:r>
        <w:t xml:space="preserve">a) die Adressaten der Maßnahme und</w:t>
      </w:r>
    </w:p>
    <w:p>
      <w:r>
        <w:t xml:space="preserve">b) diejenigen, deren personenbezogene Daten im Rahmen einer solchen Maßnahme erhoben und weiterverarbeitet wurden, und</w:t>
      </w:r>
    </w:p>
    <w:p>
      <w:r>
        <w:t xml:space="preserve">7. bei Rasterfahndung nach Art. 46 Abs. 1 die Personen, gegen die nach Auswertung der Daten weitere Maßnahmen durchgeführt wurden.</w:t>
      </w:r>
    </w:p>
    <w:p>
      <w:r>
        <w:t xml:space="preserve">In den Fällen des Satzes 1 Nr. 3 und, wenn die Maßnahme nach Art. 41 Abs. 6 als Personenschutzmaßnahme erfolgt ist, des Satzes 1 Nr. 5, ist auch eine Gefährdung der weiteren Verwendung von Vertrauenspersonen und Verdeckten Ermittlern als bedeutender Belang zu berücksichtigen. Erfolgen Maßnahmen mit Mitteln des Art. 42 Abs. 2, sind die in Satz 1 Nr. 6 genannten Personen auch darüber zu unterrichten, dass mit technischen Mitteln verdeckt auf informationstechnische Systeme zugegriffen wurde. Die Benachrichtigung unterbleibt, soweit überwiegende schutzwürdige Belange eines Betroffenen entgegenstehen. Zudem kann die Benachrichtigung einer in Satz 1 Nr. 2 bis 4 und 6 bezeichneten Person, gegen die sich die Maßnahme nicht gerichtet hat, unterbleiben, wenn diese von der Maßnahme nur unerheblich betroffen wurde. Nachforschungen zur Feststellung der Identität oder des Aufenthaltsortes einer in Satz 1 bezeichneten Person sind nur vorzunehmen, wenn dies unter Berücksichtigung der Eingriffsintensität der Maßnahme gegenüber dieser Person, des Aufwands für die Feststellung sowie der daraus für diese oder andere Personen folgenden Beeinträchtigungen geboten ist.</w:t>
      </w:r>
    </w:p>
    <w:p>
      <w:r>
        <w:t xml:space="preserve">(2) Art. 31 Abs. 4 Satz 5 und 6 gilt entsprechend.</w:t>
      </w:r>
    </w:p>
    <w:p>
      <w:r>
        <w:t xml:space="preserve">(3) Ist wegen desselben Sachverhalts ein strafrechtliches Ermittlungsverfahren gegen den Betroffenen eingeleitet worden, ist die Unterrichtung im Sinn des Abs. 1 in Abstimmung mit der Staatsanwaltschaft nachzuholen, sobald dies der Stand des Ermittlungsverfahrens zulässt.</w:t>
      </w:r>
    </w:p>
    <w:p>
      <w:r>
        <w:t xml:space="preserve">(4) Die weitere Zurückstellung der Benachrichtigung im Sinn des Abs. 1 bedarf der richterlichen Zustimmung, wenn sie nicht innerhalb des folgenden Zeitraums erfolgt:</w:t>
      </w:r>
    </w:p>
    <w:p>
      <w:r>
        <w:t xml:space="preserve">1. sechs Monate nach Beendigung des Einsatzes technischer Mittel in Wohnungen nach Art. 41 Abs. 1 Satz 1 oder des verdeckten Zugriffs auf informationstechnische Systeme nach Art. 45 Abs. 1 oder Abs. 2 oder</w:t>
      </w:r>
    </w:p>
    <w:p>
      <w:r>
        <w:t xml:space="preserve">2. ein Jahr nach Beendigung der übrigen in Abs. 1 Satz 1 Nr. 2 bis 7 bezeichneten Maßnahmen.</w:t>
      </w:r>
    </w:p>
    <w:p>
      <w:r>
        <w:t xml:space="preserve">Sind mehrere Maßnahmen in einem engen zeitlichen Zusammenhang durchgeführt worden, so beginnt die in Satz 1 genannte Frist mit der Beendigung der letzten Maßnahme. Die richterliche Entscheidung ist vorbehaltlich einer anderen richterlichen Anordnung jeweils nach einem Jahr erneut einzuholen. Eine Unterrichtung kann mit richterlicher Zustimmung frühestens nach dem Ablauf von fünf Jahren auf Dauer unterbleiben, wenn</w:t>
      </w:r>
    </w:p>
    <w:p>
      <w:r>
        <w:t xml:space="preserve">1. überwiegende Interessen eines Betroffenen entgegenstehen oder</w:t>
      </w:r>
    </w:p>
    <w:p>
      <w:r>
        <w:t xml:space="preserve">2. die Voraussetzungen für eine Benachrichtigung mit an Sicherheit grenzender Wahrscheinlichkeit auch in Zukunft nicht eintreten werden</w:t>
      </w:r>
    </w:p>
    <w:p>
      <w:r>
        <w:t xml:space="preserve">und eine Verwendung der Daten gegen den Betroffenen ausgeschlossen ist. In diesem Fall sind die Daten zu löschen und ist die Löschung zu dokumentieren. Im Fall des Abs. 3 richten sich die gerichtliche Zuständigkeit und das Verfahren nach den Regelungen der StPO.</w:t>
      </w:r>
    </w:p>
    <w:p>
      <w:r>
        <w:t xml:space="preserve">(5) Die Gründe für die Zurückstellung oder das Unterbleiben der Benachrichtigung sind zu dokumentieren.</w:t>
      </w:r>
    </w:p>
    <w:p>
      <w:r>
        <w:rPr>
          <w:color w:val="555555"/>
          <w:sz w:val="17"/>
        </w:rPr>
        <w:t xml:space="preserve">Zitiervorschlag: Art 50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