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47 PAG (Bayern) — Einsatz von unbemannten Luftfahrtsystemen</w:t>
      </w:r>
    </w:p>
    <w:p>
      <w:r>
        <w:rPr>
          <w:color w:val="555555"/>
          <w:sz w:val="18"/>
        </w:rPr>
        <w:t xml:space="preserve">Polizeiaufgabengesetz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den nachfolgenden Maßnahmen dürfen Daten unter den dort genannten Voraussetzungen auch durch den Einsatz unbemannter Luftfahrtsysteme erhoben werden:</w:t>
      </w:r>
    </w:p>
    <w:p>
      <w:r>
        <w:t xml:space="preserve">1. offene Bild- und Tonaufnahmen oder -aufzeichnungen nach Art. 33 Abs. 1 bis 3,</w:t>
      </w:r>
    </w:p>
    <w:p>
      <w:r>
        <w:t xml:space="preserve">2. Einsatz besonderer Mittel der Datenerhebung nach Art. 36 Abs. 1,</w:t>
      </w:r>
    </w:p>
    <w:p>
      <w:r>
        <w:t xml:space="preserve">3. Einsatz technischer Mittel in Wohnungen nach Art. 41 Abs. 1,</w:t>
      </w:r>
    </w:p>
    <w:p>
      <w:r>
        <w:t xml:space="preserve">4. Eingriffe in den Telekommunikationsbereich nach Art. 42 Abs. 1 bis 5 und</w:t>
      </w:r>
    </w:p>
    <w:p>
      <w:r>
        <w:t xml:space="preserve">5. verdeckter Zugriff auf informationstechnische Systeme nach Art. 45 Abs. 1 und 2.</w:t>
      </w:r>
    </w:p>
    <w:p>
      <w:r>
        <w:t xml:space="preserve">(2) In den Fällen des Abs. 1 Nr. 1 dürfen unbemannte Luftfahrtsysteme nur dann eingesetzt werden, wenn die Offenheit der Maßnahme gewahrt bleibt. In diesen Fällen soll auf die Verwendung unbemannter Luftfahrtsysteme durch die Polizei gesondert hingewiesen werden.</w:t>
      </w:r>
    </w:p>
    <w:p>
      <w:r>
        <w:t xml:space="preserve">(3) Soweit in den Fällen des Abs. 1 eine richterliche Anordnung erforderlich ist, muss diese auch den Einsatz von unbemannten Luftfahrtsystemen umfassen.</w:t>
      </w:r>
    </w:p>
    <w:p>
      <w:r>
        <w:rPr>
          <w:color w:val="555555"/>
          <w:sz w:val="17"/>
        </w:rPr>
        <w:t xml:space="preserve">Zitiervorschlag: Art 47 PAG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https://recht.nulegal.eu/gesetze/PAG/47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