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PAG (Bayern) — Rasterfahndung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und nichtöffentliche Stellen können auf Anordnung durch den Richter verpflichtet werden, der Polizei personenbezogene Daten bestimmter Personengruppen aus Dateien zum Zwecke des Abgleichs mit anderen Datenbeständen zu übermitteln, soweit dies zur Abwehr einer Gefahr für ein in Art. 11a Abs. 2 Nr. 1, 2 oder Nr. 4 genanntes bedeutendes Rechtsgut erforderlich ist. Eine Verpflichtung der Verfassungsschutzbehörden des Bundes oder der Länder, des Bundesnachrichtendienstes sowie des Militärischen Abschirmdienstes zur Übermittlung nach Satz 1 erfolgt nicht.</w:t>
      </w:r>
    </w:p>
    <w:p>
      <w:r>
        <w:t xml:space="preserve">(2) Das Ersuchen um Übermittlung ist auf Namen, Anschriften, Tag und Ort der Geburt und andere für den Einzelfall benötigte Daten zu beschränken. Soweit die zu übermittelnden Daten von anderen Daten nicht oder nur mit unverhältnismäßigem Aufwand getrennt werden können, sind auf Anordnung auch die anderen Daten zu übermitteln; die Nutzung dieser Daten ist nicht zulässig. Berufsgeheimnisträger nach den §§ 53, 53a StPO sind nicht verpflichtet, personenbezogene Daten, die einem Berufs- oder besonderen Amtsgeheimnis unterliegen, zu übermitteln; hierauf ist im Ersuchen um Übermittlung hinzuweisen.</w:t>
      </w:r>
    </w:p>
    <w:p>
      <w:r>
        <w:t xml:space="preserve">(3) Die Anordnung nach Abs. 1 ist schriftlich zu erlassen und zu begründen. Sie muss den zur Übermittlung Verpflichteten bezeichnen und ist auf die Daten und Prüfungsmerkmale zu beschränken, die für den Einzelfall benötigt werden. Von der Maßnahme ist der Landesbeauftragte unverzüglich zu unterrichten.</w:t>
      </w:r>
    </w:p>
    <w:p>
      <w:r>
        <w:t xml:space="preserve">(4) Ist der Zweck der Maßnahme erreicht oder zeigt sich, dass er nicht erreicht werden kann, sind die übermittelten und im Zusammenhang mit der Maßnahme zusätzlich angefallenen Daten unverzüglich zu löschen und die Unterlagen, soweit sie nicht für eine nach Art. 48 Abs. 1 bis 3 zulässige Verarbeitung erforderlich sind, unverzüglich zu vernichten. Die Löschung und Vernichtung ist zu dokumentieren.</w:t>
      </w:r>
    </w:p>
    <w:p>
      <w:r>
        <w:rPr>
          <w:color w:val="555555"/>
          <w:sz w:val="17"/>
        </w:rPr>
        <w:t xml:space="preserve">Zitiervorschlag: Art 46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