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PAG (Bayern) — Einsatz technischer Mittel in Wohnungen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auf Anordnung durch den Richter durch den verdeckten Einsatz technischer Mittel in oder aus Wohnungen (Art. 23 Abs. 1 Satz 2) personenbezogene Daten über die für eine Gefahr Verantwortlichen erheben, wenn dies erforderlich ist zur Abwehr einer dringenden Gefahr für ein in Art. 11a Abs. 2 Nr. 1, 2 oder Nr. 4 genanntes bedeutendes Rechtsgut. Eine Maßnahme nach Satz 1 ist nur zulässig, wenn und soweit die dort genannten Gefahren nicht anders abgewehrt werden können und</w:t>
      </w:r>
    </w:p>
    <w:p>
      <w:r>
        <w:t xml:space="preserve">1. falls zu privaten Wohnzwecken genutzte Räumlichkeiten betroffen sind, in denen sich die Person, gegen die sich die Maßnahme richtet, allein oder ausschließlich mit engsten Familienangehörigen, mit in gleicher Weise Vertrauten oder mit Berufsgeheimnisträgern nach den §§ 53, 53a StPO aufhält,</w:t>
      </w:r>
    </w:p>
    <w:p>
      <w:r>
        <w:t xml:space="preserve">a) tatsächliche Anhaltspunkte die Annahme rechtfertigen, dass Gespräche geführt werden, die einen unmittelbaren Bezug zu den in Satz 1 genannten Gefahren haben, ohne dass über ihren Inhalt das Zeugnis nach den §§ 53, 53a StPO verweigert werden könnte, oder</w:t>
      </w:r>
    </w:p>
    <w:p>
      <w:r>
        <w:t xml:space="preserve">b) die Maßnahme sich auch gegen die Familienangehörigen, Vertrauten oder Berufsgeheimnisträger richtet, oder</w:t>
      </w:r>
    </w:p>
    <w:p>
      <w:r>
        <w:t xml:space="preserve">2. falls sich die Maßnahme gegen einen Berufsgeheimnisträger nach den §§ 53, 53a StPO selbst richtet und die zu seiner Berufsausübung bestimmten Räumlichkeiten betroffen sind, die Voraussetzungen der Nr. 1 Buchst. a vorliegen.</w:t>
      </w:r>
    </w:p>
    <w:p>
      <w:r>
        <w:t xml:space="preserve">Die Daten können erhoben werden, indem das nichtöffentlich gesprochene Wort abgehört oder aufgezeichnet oder Bildaufnahmen oder -aufzeichnungen, auch unter Verwendung von Systemen zur automatischen Steuerung, angefertigt werden. Wort- und bildbezogene Maßnahmen dürfen nur dann gemeinsam erfolgen, wenn die Abwehr der Gefahr auf andere Weise aussichtslos oder wesentlich erschwert wäre.</w:t>
      </w:r>
    </w:p>
    <w:p>
      <w:r>
        <w:t xml:space="preserve">(2) In den Fällen des Abs. 1 Satz 2 Nr. 1 und 2 ist eine nur automatische Aufzeichnung nicht zulässig. Soweit begründete Zweifel bestehen, ob ein Fall des Art. 49 Abs. 2 Satz 1 vorliegt, oder wenn auf Grund tatsächlicher Anhaltspunkte anzunehmen ist, dass Gespräche geführt werden, die einen unmittelbaren Bezug zu den in Abs. 1 Satz 1 genannten Gefahren haben, darf eine Maßnahme nach Abs. 1 Satz 1 in Form einer ausschließlich automatischen Aufzeichnung fortgeführt werden.</w:t>
      </w:r>
    </w:p>
    <w:p>
      <w:r>
        <w:t xml:space="preserve">(3) Die Maßnahme darf nur in den Wohnungen des Adressaten durchgeführt werden. In Wohnungen anderer Personen ist die Maßnahme zulässig, wenn es nicht Wohnungen von Berufsgeheimnisträgern nach §§ 53, 53a StPO sind und auf Grund bestimmter Tatsachen anzunehmen ist, dass</w:t>
      </w:r>
    </w:p>
    <w:p>
      <w:r>
        <w:t xml:space="preserve">1. der in der Anordnung bezeichnete Adressat sich dort aufhält,</w:t>
      </w:r>
    </w:p>
    <w:p>
      <w:r>
        <w:t xml:space="preserve">2. die Maßnahme in Wohnungen des Adressaten allein zur Abwehr der Gefahr oder der Straftat nicht möglich oder nicht ausreichend ist und</w:t>
      </w:r>
    </w:p>
    <w:p>
      <w:r>
        <w:t xml:space="preserve">3. Informationen gewonnen werden können, die für die Abwehr der Gefahr von Bedeutung sind.</w:t>
      </w:r>
    </w:p>
    <w:p>
      <w:r>
        <w:t xml:space="preserve">Die Maßnahme darf auch durchgeführt werden, wenn Dritte unvermeidbar betroffen sind.</w:t>
      </w:r>
    </w:p>
    <w:p>
      <w:r>
        <w:t xml:space="preserve">(4) In der schriftlichen Anordnung nach Abs. 1 Satz 1 sind Adressat, Art, Umfang und Dauer der Maßnahme zu bestimmen und die wesentlichen Gründe anzugeben. Unter den Voraussetzungen des Abs. 1 darf die Anordnung auch zum verdeckten Betreten und Durchsuchen der Wohnung des Betroffenen ermächtigen, soweit dies zur Durchführung einer Maßnahme nach Abs. 1 erforderlich ist. Die Maßnahme ist einzelfallabhängig auf höchstens einen Monat zu befristen und kann um jeweils längstens einen Monat verlängert werden.</w:t>
      </w:r>
    </w:p>
    <w:p>
      <w:r>
        <w:t xml:space="preserve">(5) Personenbezogene Daten, die durch Maßnahmen nach Abs. 1 erlangt wurden, dürfen nur verarbeitet werden, soweit die hierfür eingerichtete unabhängige Stelle oder, soweit dieses angerufen wurde, das zuständige Gericht sie freigegeben hat. Zur Herbeiführung ihrer Entscheidung sind der unabhängigen Stelle die erhobenen Daten vollständig vorzulegen, in den Fällen des Abs. 2 Satz 2 möglichst bereits ohne vorhergehende inhaltliche Kenntnisnahme. Die unabhängige Stelle gibt die Daten für die Weiterverarbeitung durch die Polizei frei, soweit sie nicht dem Kernbereich privater Lebensgestaltung zuzurechnen sind. Nicht freigegebene Daten löscht die unabhängige Stelle, sobald die Frist für einen Antrag auf gerichtliche Überprüfung der von ihr getroffenen Entscheidung abgelaufen ist, ohne dass ein entsprechender Antrag gestellt wurde, oder das zuständige Gericht die Löschung angeordnet hat. Löschungen sind zu dokumentieren. Bei Gefahr im Verzug kann die Entscheidung nach Satz 1 auch durch die in Art. 36 Abs. 4 Satz 1 und 2 genannten Personen getroffen werden. Für die nachträgliche Kontrolle der Entscheidung durch die unabhängige Stelle gilt Art. 95 Abs. 5 sinngemäß.</w:t>
      </w:r>
    </w:p>
    <w:p>
      <w:r>
        <w:t xml:space="preserve">(6) Erfolgt die Anordnung eines verdeckten Einsatzes technischer Mittel in Wohnungen ausschließlich als Personenschutzmaßnahme, gilt Art. 36 Abs. 5 Satz 2 entsprechend. Außer in Fällen der Gefahr im Verzug ist eine anderweitige Verwendung der hierbei erlangten Erkenntnisse zu Zwecken der Gefahrenabwehr oder der Strafverfolgung erst zulässig, wenn zuvor die Rechtsmäßigkeit der Maßnahme richterlich festgestellt ist. Aufzeichnungen aus einem solchen Einsatz sind unverzüglich nach Beendigung des Einsatzes zu löschen, soweit sie nicht zur Strafverfolgung oder Gefahrenabwehr benötigt werden.</w:t>
      </w:r>
    </w:p>
    <w:p>
      <w:r>
        <w:rPr>
          <w:color w:val="555555"/>
          <w:sz w:val="17"/>
        </w:rPr>
        <w:t xml:space="preserve">Zitiervorschlag: Art 41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