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PAG (Bayern) — Ausschreibung zur polizeilichen Beobachtung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Möglichkeiten zur Ausschreibung nach dem Recht der Europäischen Union kann die Polizei personenbezogene Daten, insbesondere die Personalien einer Person sowie Kennzeichen eines von ihr benutzten Fahrzeugs, zur polizeilichen Beobachtung oder gezielten Kontrolle ausschreiben, wenn</w:t>
      </w:r>
    </w:p>
    <w:p>
      <w:r>
        <w:t xml:space="preserve">1. die Gesamtwürdigung der Person einschließlich ihrer bisher begangenen Straftaten erwarten lässt, dass von ihr auch künftig eine Gefahr für bedeutende Rechtsgüter ausgeht,</w:t>
      </w:r>
    </w:p>
    <w:p>
      <w:r>
        <w:t xml:space="preserve">2. sie für eine drohende Gefahr für bedeutende Rechtsgüter verantwortlich ist oder</w:t>
      </w:r>
    </w:p>
    <w:p>
      <w:r>
        <w:t xml:space="preserve">3. tatsächliche Anhaltspunkte die Annahme rechtfertigen, dass es sich um eine mutmaßlich mit der Gefahrenlage im Zusammenhang stehende Kontaktperson einer Person nach Nr. 1 oder Nr. 2 handelt.</w:t>
      </w:r>
    </w:p>
    <w:p>
      <w:r>
        <w:t xml:space="preserve">(2) Im Fall eines Antreffens der Personen im Sinn des Abs. 1 Nr. 1 bis 3 oder des Fahrzeugs können Erkenntnisse über das Antreffen sowie über mutmaßlich in Zusammenhang mit der Gefahrenlage stehende Begleitpersonen, Fahrzeugführer und mitgeführte Sachen an die ausschreibende Polizeidienststelle übermittelt werden. Ist die Ausschreibung zur gezielten Kontrolle erfolgt, gilt dies insbesondere auch für die aus Maßnahmen nach den Art. 13, 21 und 22 gewonnenen Erkenntnisse.</w:t>
      </w:r>
    </w:p>
    <w:p>
      <w:r>
        <w:t xml:space="preserve">(3) Die Ausschreibung zur polizeilichen Beobachtung oder gezielten Kontrolle darf nur durch die in Art. 36 Abs. 4 Satz 1 und 2 genannten Personen angeordnet werden. Art. 36 Abs. 7 Satz 1 gilt entsprechend. Die Maßnahme ist auf höchstens ein Jahr zu befristen und kann um jeweils längstens ein Jahr verlängert werden.</w:t>
      </w:r>
    </w:p>
    <w:p>
      <w:r>
        <w:t xml:space="preserve">(4) Liegen die Voraussetzungen für die Anordnung nicht mehr vor, ist der Zweck der Maßnahme erreicht oder zeigt sich, dass er nicht erreicht werden kann, ist die Ausschreibung zur polizeilichen Beobachtung oder gezielten Kontrolle unverzüglich zu löschen.</w:t>
      </w:r>
    </w:p>
    <w:p>
      <w:r>
        <w:rPr>
          <w:color w:val="555555"/>
          <w:sz w:val="17"/>
        </w:rPr>
        <w:t xml:space="preserve">Zitiervorschlag: Art 40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