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35 PAG (Bayern) — Postsicherstellung</w:t>
      </w:r>
    </w:p>
    <w:p>
      <w:r>
        <w:rPr>
          <w:color w:val="555555"/>
          <w:sz w:val="18"/>
        </w:rPr>
        <w:t xml:space="preserve">Polizeiaufgabengesetz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Polizei kann auf Anordnung durch den Richter ohne Wissen des Betroffenen Postsendungen sicherstellen, wenn sich diese im Gewahrsam von Personen oder Unternehmen befinden, die geschäftsmäßig Post- oder Telekommunikationsdienste erbringen oder daran mitwirken (Postdienstleister), und von einer Person versandt wurden oder an eine Person gerichtet sind,</w:t>
      </w:r>
    </w:p>
    <w:p>
      <w:r>
        <w:t xml:space="preserve">1. die für eine Gefahr oder eine drohende Gefahr für ein in Art. 11a Abs. 2 Nr. 1, 2 oder Nr. 4 genanntes bedeutendes Rechtsgut verantwortlich ist, oder</w:t>
      </w:r>
    </w:p>
    <w:p>
      <w:r>
        <w:t xml:space="preserve">2. bei der bestimmte Tatsachen die Annahme rechtfertigen, dass sie für eine Person nach Nr. 1 bestimmte oder von dieser herrührende Postsendungen entgegennimmt oder weitergibt und sie daher in Zusammenhang mit der Gefahrenlage steht, ohne diesbezüglich das Recht zur Verweigerung des Zeugnisses nach den §§ 53, 53a StPO zu haben,</w:t>
      </w:r>
    </w:p>
    <w:p>
      <w:r>
        <w:t xml:space="preserve">sofern die Abwehr der Gefahr auf andere Weise aussichtslos oder wesentlich erschwert wäre. Postdienstleister haben die Sicherstellung zu ermöglichen und unter den Voraussetzungen des Satzes 1 der Polizei auf Verlangen Auskünfte über derzeit oder ehemals in ihrem Gewahrsam befindliche oder angekündigte Postsendungen zu erteilen.</w:t>
      </w:r>
    </w:p>
    <w:p>
      <w:r>
        <w:t xml:space="preserve">(2) In der schriftlichen Anordnung sind einzelfallabhängig anzugeben:</w:t>
      </w:r>
    </w:p>
    <w:p>
      <w:r>
        <w:t xml:space="preserve">1. der Adressat der Maßnahme, möglichst mit Namen und Anschrift,</w:t>
      </w:r>
    </w:p>
    <w:p>
      <w:r>
        <w:t xml:space="preserve">2. die Dauer,</w:t>
      </w:r>
    </w:p>
    <w:p>
      <w:r>
        <w:t xml:space="preserve">3. eine möglichst genaue Bezeichnung des Auskunftsverlangens und der der Sicherstellung unterliegenden Postsendungen sowie</w:t>
      </w:r>
    </w:p>
    <w:p>
      <w:r>
        <w:t xml:space="preserve">4. die wesentlichen Gründe.</w:t>
      </w:r>
    </w:p>
    <w:p>
      <w:r>
        <w:t xml:space="preserve">Die Maßnahme ist auf höchstens drei Monate zu befristen und kann um jeweils längstens drei Monate verlängert werden.</w:t>
      </w:r>
    </w:p>
    <w:p>
      <w:r>
        <w:t xml:space="preserve">(3) Die Öffnung der ausgelieferten Postsendungen steht dem Gericht zu. In Eilfällen kann es diese Befugnis auf die Polizei übertragen. Bestehen Zweifel hinsichtlich der Verwertbarkeit der erlangten Erkenntnisse, hat die Entscheidung hierüber im Benehmen mit der in Art. 41 Abs. 5 Satz 1 genannten Stelle zu erfolgen.</w:t>
      </w:r>
    </w:p>
    <w:p>
      <w:r>
        <w:t xml:space="preserve">(4) Ist eine Übertragung nach Abs. 3 Satz 2 nicht erfolgt, legt die Polizei die ihr ausgelieferten Postsendungen unverzüglich ohne vorherige inhaltliche Kenntnisnahme und ungeöffnet dem Gericht vor. Dieses entscheidet unverzüglich über die Öffnung.</w:t>
      </w:r>
    </w:p>
    <w:p>
      <w:r>
        <w:t xml:space="preserve">(5) Postsendungen sind unverzüglich an den vorgesehenen Empfänger weiterzuleiten, soweit</w:t>
      </w:r>
    </w:p>
    <w:p>
      <w:r>
        <w:t xml:space="preserve">1. ihre Öffnung nicht angeordnet wurde oder</w:t>
      </w:r>
    </w:p>
    <w:p>
      <w:r>
        <w:t xml:space="preserve">2. nach der Öffnung die Zurückbehaltung zur Gefahrenabwehr nicht mehr erforderlich ist.</w:t>
      </w:r>
    </w:p>
    <w:p>
      <w:r>
        <w:rPr>
          <w:color w:val="555555"/>
          <w:sz w:val="17"/>
        </w:rPr>
        <w:t xml:space="preserve">Zitiervorschlag: Art 35 PAG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https://recht.nulegal.eu/gesetze/PAG/35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