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PAG (Bayern) — Elektronische Aufenthaltsüberwachung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Abwehr einer Gefahr oder einer drohenden Gefahr für ein bedeutendes Rechtsgut kann durch den Richter gegenüber der dafür verantwortlichen Person angeordnet werden, die für eine elektronische Überwachung ihres Aufenthaltsorts erforderlichen technischen Mittel ständig in betriebsbereitem Zustand bei sich zu führen und deren Funktionsfähigkeit nicht zu beeinträchtigen. Eine Anordnung kann insbesondere mit Maßnahmen nach Art. 16 Abs. 1 Satz 3 oder Art. 16 Abs. 2 verbunden werden. Die Maßnahme ist zu beenden, sobald der Grund hierfür entfallen ist.</w:t>
      </w:r>
    </w:p>
    <w:p>
      <w:r>
        <w:t xml:space="preserve">(2) Die Polizei darf mit Hilfe der von der verantwortlichen Person mitgeführten technischen Mittel automatisiert Daten über deren Aufenthaltsort sowie über etwaige Beeinträchtigungen der Datenerhebung erheben und speichern. Soweit es technisch möglich ist, ist sicherzustellen, dass innerhalb von Wohnungen keine über den Umstand der Anwesenheit der verantwortlichen Person hinausgehende Aufenthaltsdaten erhoben werden.</w:t>
      </w:r>
    </w:p>
    <w:p>
      <w:r>
        <w:t xml:space="preserve">(3) Soweit dies zur Erfüllung des Überwachungszwecks erforderlich ist, dürfen die erhobenen Daten auf Anordnung durch den Richter zu einem Bewegungsbild verbunden werden.</w:t>
      </w:r>
    </w:p>
    <w:p>
      <w:r>
        <w:t xml:space="preserve">(4) In der schriftlichen Anordnung sind Adressat und Art sowie einzelfallabhängig Umfang und Dauer der Maßnahme zu bestimmen und die wesentlichen Gründe anzugeben. Die Maßnahme ist auf höchstens drei Monate zu befristen und kann um jeweils längstens drei Monate verlängert werden.</w:t>
      </w:r>
    </w:p>
    <w:p>
      <w:r>
        <w:t xml:space="preserve">(5) Die nach Abs. 1 erhobenen Daten sind spätestens zwei Monate nach Beendigung der Maßnahme zu löschen, soweit sie nicht zulässigerweise für andere Zwecke verarbeitet werden. Bei jedem Abruf sind der Zeitpunkt, die abgerufenen Daten, der Bearbeiter und der Grund des Abrufs samt Geschäftszeichen zu protokollieren.</w:t>
      </w:r>
    </w:p>
    <w:p>
      <w:r>
        <w:rPr>
          <w:color w:val="555555"/>
          <w:sz w:val="17"/>
        </w:rPr>
        <w:t xml:space="preserve">Zitiervorschlag: Art 34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