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32a PAG (Bayern) — Molekulargenetische Untersuchung bei Spurenmaterial unbekannter Herkunft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Polizei kann auf Anordnung durch den Richter personenbezogene Daten durch molekulargenetische Untersuchung aufgefundenen Spurenmaterials unbekannter Herkunft erheben, wenn dies zur Gefahrenabwehr (Art. 2 Abs. 1) erforderlich ist. Die molekulargenetische Untersuchung darf nur zum Zwecke der Feststellung des DNA-Identifizierungsmusters, des Geschlechts, der Augen-, Haar- und Hautfarbe und des biologischen Alters des Spurenverursachers durchgeführt werden. Andere Feststellungen als die in Satz 2 genannten dürfen nicht getroffen werden. Hierauf gerichtete Untersuchungen sind unzulässig. Für die Durchführung der Untersuchung gilt Art. 14 Abs. 5 Satz 5 entsprechend.</w:t>
      </w:r>
    </w:p>
    <w:p>
      <w:r>
        <w:t xml:space="preserve">(2) Die DNA-Identifizierungsmuster können in einer Datei gespeichert werden. Die DNA-Identifizierungsmuster sind unverzüglich zu löschen, wenn der Zweck der Maßnahme nach Abs. 1 erreicht ist und soweit sie nicht nach anderen Rechtsvorschriften aufbewahrt werden dürfen. Art. 63 Abs. 2 und 3 gilt entsprechend.</w:t>
      </w:r>
    </w:p>
    <w:p>
      <w:r>
        <w:rPr>
          <w:color w:val="555555"/>
          <w:sz w:val="17"/>
        </w:rPr>
        <w:t xml:space="preserve">Zitiervorschlag: Art 32a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https://recht.nulegal.eu/gesetze/PAG/32a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