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PAG (Bayern) — Grundsätze der Datenerhebung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darf personenbezogene Daten nur erheben, soweit dies durch Rechtsvorschrift zugelassen ist.</w:t>
      </w:r>
    </w:p>
    <w:p>
      <w:r>
        <w:t xml:space="preserve">(2) Personenbezogene Daten sind grundsätzlich bei dem Betroffenen zu erheben. Sie können auch bei Behörden, sonstigen öffentlichen Stellen oder bei Dritten erhoben werden, wenn die Datenerhebung beim Betroffenen nicht oder nur mit unverhältnismäßig hohem Aufwand möglich ist oder die Erfüllung der polizeilichen Aufgaben gefährden würde.</w:t>
      </w:r>
    </w:p>
    <w:p>
      <w:r>
        <w:t xml:space="preserve">(3) Personenbezogene Daten sind von der Polizei grundsätzlich offen zu erheben. Die Polizei informiert in allgemeiner und jedermann zugänglicher Form über</w:t>
      </w:r>
    </w:p>
    <w:p>
      <w:r>
        <w:t xml:space="preserve">1. die Zwecke, zu denen personenbezogene Daten verarbeitet werden,</w:t>
      </w:r>
    </w:p>
    <w:p>
      <w:r>
        <w:t xml:space="preserve">2. den Namen und die Kontaktdaten der erhebenden Stelle und des behördlichen Datenschutzbeauftragten,</w:t>
      </w:r>
    </w:p>
    <w:p>
      <w:r>
        <w:t xml:space="preserve">3. das Recht, sich an den Landesbeauftragten für den Datenschutz (Landesbeauftragter) zu wenden sowie dessen Kontaktdaten und</w:t>
      </w:r>
    </w:p>
    <w:p>
      <w:r>
        <w:t xml:space="preserve">4. die Rechte auf Auskunft, Berichtigung, Löschung und Einschränkung der Verarbeitung personenbezogener Daten.</w:t>
      </w:r>
    </w:p>
    <w:p>
      <w:r>
        <w:t xml:space="preserve">Die Polizei informiert auf Verlangen darüber hinaus in geeigneter Weise über die Rechtsgrundlage der Datenerhebung sowie eine im Einzelfall bestehende gesetzliche Auskunftspflicht oder die Freiwilligkeit der Auskunft.</w:t>
      </w:r>
    </w:p>
    <w:p>
      <w:r>
        <w:t xml:space="preserve">(4) Eine Datenerhebung, die nicht als polizeiliche Maßnahme erkennbar sein soll, ist zulässig, wenn</w:t>
      </w:r>
    </w:p>
    <w:p>
      <w:r>
        <w:t xml:space="preserve">1. die Erfüllung polizeilicher Aufgaben auf andere Weise gefährdet oder wesentlich erschwert würde oder</w:t>
      </w:r>
    </w:p>
    <w:p>
      <w:r>
        <w:t xml:space="preserve">2. anzunehmen ist, dass dies überwiegenden Interessen oder Belangen des Betroffenen oder Dritter dient.</w:t>
      </w:r>
    </w:p>
    <w:p>
      <w:r>
        <w:t xml:space="preserve">Die Information nach Abs. 3 Satz 3 kann in diesen Fällen zunächst unterbleiben. Sind die Voraussetzungen für eine Datenerhebung im Sinn des Satzes 1 entfallen, ist der Betroffene zu benachrichtigen und sind unterbliebene Informationen unverzüglich zu erteilen. Dies kann in den Fällen des Satzes 1 auch auf Dauer unterbleiben, wenn es sich nur um einen kurzfristigen Eingriff handelt, an den sich keine Folgemaßnahmen anschließen. Die Benachrichtigung hat zumindest die Angaben nach Abs. 3 Satz 2, die Rechtsgrundlage der Datenerhebung und gegebenenfalls der weiteren Verarbeitung, Informationen über die mutmaßliche Dauer der Datenspeicherung oder, falls diese Angabe nicht möglich ist, Kriterien hierfür sowie gegebenenfalls über die Kategorien der Empfänger der Daten zu enthalten. Bezieht sich die Benachrichtigung auf die Herkunft personenbezogener Daten von oder deren Übermittlung an Verfassungsschutzbehörden des Bundes oder der Länder, den Bundesnachrichtendienst oder den Militärischen Abschirmdienst, ist sie nur nach Zustimmung dieser Stellen zulässig.</w:t>
      </w:r>
    </w:p>
    <w:p>
      <w:r>
        <w:t xml:space="preserve">(5) Die Vorschriften des 2. Unterabschnitts über besondere Befugnisse und Maßnahmen der Datenerhebung bleiben unberührt.</w:t>
      </w:r>
    </w:p>
    <w:p>
      <w:r>
        <w:rPr>
          <w:color w:val="555555"/>
          <w:sz w:val="17"/>
        </w:rPr>
        <w:t xml:space="preserve">Zitiervorschlag: Art 31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