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PAG (Bayern) — Allgemeine Grundsätze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Vorbehaltlich abweichender Regelung gelten die Vorschriften dieses Abschnitts für alle Datenverarbeitungen der Polizei nach diesem Gesetz, unabhängig davon, ob diese in Akten, Dateien oder anderer Form erfolgen.</w:t>
      </w:r>
    </w:p>
    <w:p>
      <w:r>
        <w:t xml:space="preserve">(2) Die Verarbeitung besonderer Kategorien personenbezogener Daten ist zulässig,</w:t>
      </w:r>
    </w:p>
    <w:p>
      <w:r>
        <w:t xml:space="preserve">1. soweit andernfalls die Erfüllung polizeilicher Aufgaben, insbesondere die Verhütung oder Unterbindung von Straftaten, gefährdet oder wesentlich erschwert ist,</w:t>
      </w:r>
    </w:p>
    <w:p>
      <w:r>
        <w:t xml:space="preserve">2. zur Abwehr von</w:t>
      </w:r>
    </w:p>
    <w:p>
      <w:r>
        <w:t xml:space="preserve">a) Gefahren oder</w:t>
      </w:r>
    </w:p>
    <w:p>
      <w:r>
        <w:t xml:space="preserve">b) drohenden Gefahren für ein bedeutendes Rechtsgut,</w:t>
      </w:r>
    </w:p>
    <w:p>
      <w:r>
        <w:t xml:space="preserve">3. wenn der Betroffene der Datenverarbeitung schriftlich zugestimmt hat und die Daten nur für den Zweck verarbeitet werden, zu dem die Zustimmung erteilt wurde; vor Erteilung der Zustimmung ist der Betroffene über den Zweck der Verarbeitung sowie darüber aufzuklären, dass er die Zustimmung verweigern sowie jederzeit widerrufen kann,</w:t>
      </w:r>
    </w:p>
    <w:p>
      <w:r>
        <w:t xml:space="preserve">4. wenn der Betroffene sie bereits offensichtlich öffentlich gemacht hat oder</w:t>
      </w:r>
    </w:p>
    <w:p>
      <w:r>
        <w:t xml:space="preserve">5. wenn dies zu Zwecken der Eigensicherung erforderlich ist.</w:t>
      </w:r>
    </w:p>
    <w:p>
      <w:r>
        <w:t xml:space="preserve">Solche Daten sollen besonders gekennzeichnet und der Zugriff darauf besonders ausgestaltet werden, wenn und soweit dies der Schutz des Betroffenen erfordert.</w:t>
      </w:r>
    </w:p>
    <w:p>
      <w:r>
        <w:t xml:space="preserve">(3) Soweit möglich soll erkennbar werden, ob Daten auf Tatsachen oder persönlichen Einschätzungen beruhen.</w:t>
      </w:r>
    </w:p>
    <w:p>
      <w:r>
        <w:t xml:space="preserve">(4) Bei einer Datenverarbeitung im Zusammenhang mit einer begangenen oder drohenden Straftat soll nach Möglichkeit unterschieden werden, ob die Daten</w:t>
      </w:r>
    </w:p>
    <w:p>
      <w:r>
        <w:t xml:space="preserve">1. Verdächtige,</w:t>
      </w:r>
    </w:p>
    <w:p>
      <w:r>
        <w:t xml:space="preserve">2. Verurteilte,</w:t>
      </w:r>
    </w:p>
    <w:p>
      <w:r>
        <w:t xml:space="preserve">3. Opfer oder</w:t>
      </w:r>
    </w:p>
    <w:p>
      <w:r>
        <w:t xml:space="preserve">4. andere Personen</w:t>
      </w:r>
    </w:p>
    <w:p>
      <w:r>
        <w:t xml:space="preserve">betreffen.</w:t>
      </w:r>
    </w:p>
    <w:p>
      <w:r>
        <w:rPr>
          <w:color w:val="555555"/>
          <w:sz w:val="17"/>
        </w:rPr>
        <w:t xml:space="preserve">Zitiervorschlag: Art 30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