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28 PAG (Bayern) — Beendigung der Sicherstellung, Kosten</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Sicherstellung ist zu beenden, sobald ihre Voraussetzungen entfallen sind.</w:t>
      </w:r>
    </w:p>
    <w:p>
      <w:r>
        <w:t xml:space="preserve">(2) Sachen sind an denjenigen herauszugeben, bei dem sie sichergestellt wurden. Ist das nicht möglich, können sie an jeden herausgegeben werden, der eine Berechtigung an der Sache glaubhaft macht. Die Herausgabe ist ausgeschlossen, wenn dadurch erneut die Voraussetzungen für eine Sicherstellung eintreten würden.</w:t>
      </w:r>
    </w:p>
    <w:p>
      <w:r>
        <w:t xml:space="preserve">(3) Die Sicherstellung im Sinn des Art. 25 Abs. 2 darf nicht länger als ein Jahr aufrechterhalten werden. Kann das Vermögensrecht nicht freigegeben werden, ohne dass die Voraussetzungen der Sicherstellung erneut eintreten, kann die Sicherstellung mit gerichtlicher Zustimmung um jeweils ein weiteres Jahr verlängert werden.</w:t>
      </w:r>
    </w:p>
    <w:p>
      <w:r>
        <w:t xml:space="preserve">(4) Sind sichergestellte Sachen verwertet worden, ist der Erlös herauszugeben. Ist ein Berechtigter nicht vorhanden oder nicht zu ermitteln, ist der Erlös nach den Vorschriften des BGB zu hinterlegen. Der Anspruch des Berechtigten auf Herausgabe des Erlöses erlischt drei Jahre nach Ablauf des Jahres, in dem die Sache verwertet worden ist.</w:t>
      </w:r>
    </w:p>
    <w:p>
      <w:r>
        <w:t xml:space="preserve">(5) Für die Sicherstellung, Verwertung und für Maßnahmen nach Art. 27 Abs. 4 werden Kosten erhoben. Die Kosten und die Benutzungsgebühren für die Verwahrung haben die nach Art. 7 oder 8 Verantwortlichen zu tragen. Die Herausgabe der Sache kann von der Zahlung der geschuldeten Beträge abhängig gemacht werden; ist eine Sache verwertet worden, so können die geschuldeten Beträge aus dem Erlös gedeckt werden. Im übrigen gilt das Kostengesetz.</w:t>
      </w:r>
    </w:p>
    <w:p>
      <w:r>
        <w:t xml:space="preserve">(6) § 983 BGB bleibt unberührt.</w:t>
      </w:r>
    </w:p>
    <w:p>
      <w:r>
        <w:rPr>
          <w:color w:val="555555"/>
          <w:sz w:val="17"/>
        </w:rPr>
        <w:t xml:space="preserve">Zitiervorschlag: Art 28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