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PAG (Bayern) — Behandlung festgehaltener Personen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 Person auf Grund von Art. 13 Abs. 2 Satz 3, Art. 14 Abs. 7, Art. 15 Abs. 3 oder Art. 17 festgehalten, ist ihr unverzüglich der Grund bekanntzugeben; sie ist über die ihr zustehenden Rechtsmittel zu belehren. Zu der Belehrung gehört der Hinweis, daß eine etwaige Aussage freiwillig erfolgt.</w:t>
      </w:r>
    </w:p>
    <w:p>
      <w:r>
        <w:t xml:space="preserve">(2) Der festgehaltenen Person ist unverzüglich Gelegenheit zu geben, einen Angehörigen oder eine Person ihres Vertrauens zu benachrichtigen, soweit dadurch der Zweck der Freiheitsentziehung nicht gefährdet wird. Unberührt bleibt die Benachrichtigungspflicht bei einer richterlichen Freiheitsentziehung. Die Polizei hat die Benachrichtigung zu übernehmen, wenn die festgehaltene Person nicht in der Lage ist, von dem Recht nach Satz 1 Gebrauch zu machen und die Benachrichtigung ihrem mutmaßlichen Willen nicht widerspricht. Ist die festgehaltene Person minderjährig oder ist für sie ein Betreuer mit dem Aufgabenkreis der Personensorge oder der Aufenthaltsbestimmung bestellt, so ist in jedem Fall unverzüglich der Betreuer oder derjenige zu benachrichtigen, dem die Sorge für die Person obliegt.</w:t>
      </w:r>
    </w:p>
    <w:p>
      <w:r>
        <w:t xml:space="preserve">(3) Die festgehaltene Person soll gesondert, insbesondere ohne ihre Einwilligung nicht in demselben Raum mit Straf- oder Untersuchungsgefangenen untergebracht werden. Männer und Frauen sollen getrennt untergebracht werden. Der festgehaltenen Person dürfen nur solche Beschränkungen auferlegt werden, die der Zweck der Freiheitsentziehung oder die Ordnung im Gewahrsam erfordert. Art. 96 Abs. 1 und 2 des Bayerischen Strafvollzugsgesetzes (BayStVollzG) und hinsichtlich der Verwendung technischer Mittel zudem Art. 33 Abs. 6 gelten entsprechend.</w:t>
      </w:r>
    </w:p>
    <w:p>
      <w:r>
        <w:rPr>
          <w:color w:val="555555"/>
          <w:sz w:val="17"/>
        </w:rPr>
        <w:t xml:space="preserve">Zitiervorschlag: Art 19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