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PAG (Bayern) — Vorladung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Polizei kann eine Person schriftlich oder mündlich vorladen, wenn</w:t>
      </w:r>
    </w:p>
    <w:p>
      <w:r>
        <w:t xml:space="preserve">1. Tatsachen die Annahme rechtfertigen, daß die Person sachdienliche Angaben machen kann, die für die Erfüllung einer bestimmten polizeilichen Aufgabe erforderlich sind, oder</w:t>
      </w:r>
    </w:p>
    <w:p>
      <w:r>
        <w:t xml:space="preserve">2. das zur Durchführung erkennungsdienstlicher Maßnahmen oder einer elektronischen Aufenthaltsüberwachung erforderlich ist.</w:t>
      </w:r>
    </w:p>
    <w:p>
      <w:r>
        <w:t xml:space="preserve">(2) Bei der Vorladung soll deren Grund angegeben werden. Bei der Festsetzung des Zeitpunkts soll auf den Beruf und die sonstigen Lebensverhältnisse des Betroffenen Rücksicht genommen werden.</w:t>
      </w:r>
    </w:p>
    <w:p>
      <w:r>
        <w:t xml:space="preserve">(3) Leistet eine betroffene Person der Vorladung ohne hinreichenden Grund keine Folge, so kann sie zwangsweise durchgesetzt werden,</w:t>
      </w:r>
    </w:p>
    <w:p>
      <w:r>
        <w:t xml:space="preserve">1. wenn die Angaben zur Abwehr einer Gefahr oder einer drohenden Gefahr für Leben, Gesundheit oder Freiheit einer Person erforderlich sind, oder</w:t>
      </w:r>
    </w:p>
    <w:p>
      <w:r>
        <w:t xml:space="preserve">2. zur Durchführung der in Abs. 1 Nr. 2 genannten Maßnahmen.</w:t>
      </w:r>
    </w:p>
    <w:p>
      <w:r>
        <w:t xml:space="preserve">Im Fall einer Freiheitsentziehung hat die Polizei unverzüglich eine richterliche Entscheidung nach Art. 97 herbeizuführen.</w:t>
      </w:r>
    </w:p>
    <w:p>
      <w:r>
        <w:t xml:space="preserve">(4) § 136a StPO gilt entsprechend.</w:t>
      </w:r>
    </w:p>
    <w:p>
      <w:r>
        <w:rPr>
          <w:color w:val="555555"/>
          <w:sz w:val="17"/>
        </w:rPr>
        <w:t xml:space="preserve">Zitiervorschlag: Art 15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