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PAG (Bayern) — Allgemeine Befugnisse</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die notwendigen Maßnahmen treffen, um eine im einzelnen Fall bestehende Gefahr für die öffentliche Sicherheit oder Ordnung abzuwehren, soweit nicht die Art. 12 bis 65 die Befugnisse der Polizei besonders regeln. Unter einer solchen konkreten Gefahr (Gefahr) ist eine Sachlage zu verstehen, die bei ungehindertem Ablauf des objektiv zu erwartenden Geschehens im Einzelfall mit hinreichender Wahrscheinlichkeit zu einer Verletzung von Schutzgütern der öffentlichen Sicherheit oder Ordnung führt.</w:t>
      </w:r>
    </w:p>
    <w:p>
      <w:r>
        <w:t xml:space="preserve">(2) Eine Maßnahme im Sinn des Abs. 1 kann die Polizei insbesondere dann treffen, wenn sie notwendig ist, um</w:t>
      </w:r>
    </w:p>
    <w:p>
      <w:r>
        <w:t xml:space="preserve">1. Straftaten, Ordnungswidrigkeiten oder verfassungsfeindliche Handlungen zu verhüten oder zu unterbinden,</w:t>
      </w:r>
    </w:p>
    <w:p>
      <w:r>
        <w:t xml:space="preserve">2. durch solche Handlungen verursachte Zustände zu beseitigen oder</w:t>
      </w:r>
    </w:p>
    <w:p>
      <w:r>
        <w:t xml:space="preserve">3. Gefahren abzuwehren oder Zustände zu beseitigen, die Leben, Gesundheit oder die Freiheit der Person oder die Sachen, deren Erhaltung im öffentlichen Interesse geboten erscheint, bedrohen oder verletzen.</w:t>
      </w:r>
    </w:p>
    <w:p>
      <w:r>
        <w:t xml:space="preserve">Straftaten im Sinn dieses Gesetzes sind rechtswidrige Taten, die den Tatbestand eines Strafgesetzes verwirklichen. Ordnungswidrigkeiten im Sinn dieses Gesetzes sind rechtswidrige Taten, die den Tatbestand einer Ordnungswidrigkeit verwirklichen. Verfassungsfeindlich im Sinn des Satzes 1 Nr. 1 ist eine Handlung, die darauf gerichtet ist, die verfassungsmäßige Ordnung der Bundesrepublik Deutschland oder eines ihrer Länder auf verfassungswidrige Weise zu stören oder zu ändern, ohne eine Straftat oder Ordnungswidrigkeit zu verwirklichen.</w:t>
      </w:r>
    </w:p>
    <w:p>
      <w:r>
        <w:t xml:space="preserve">(3) Zur Erfüllung der Aufgaben, die der Polizei durch andere Rechtsvorschriften zugewiesen sind (Art. 2 Abs. 4), hat sie die dort vorgesehenen Befugnisse. Soweit solche Rechtsvorschriften Befugnisse der Polizei nicht regeln, hat sie die Befugnisse, die ihr nach diesem Gesetz zustehen.</w:t>
      </w:r>
    </w:p>
    <w:p>
      <w:r>
        <w:rPr>
          <w:color w:val="555555"/>
          <w:sz w:val="17"/>
        </w:rPr>
        <w:t xml:space="preserve">Zitiervorschlag: Art 11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