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OsRuG (Brandenburg)</w:t>
      </w:r>
    </w:p>
    <w:p>
      <w:r>
        <w:rPr>
          <w:color w:val="555555"/>
          <w:sz w:val="18"/>
        </w:rPr>
        <w:t xml:space="preserve">Ostprignitz-Ruppin-Gesetz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2 des Kreisneugliederungsgesetzes aus</w:t>
      </w:r>
    </w:p>
    <w:p>
      <w:r>
        <w:t xml:space="preserve">dem Kreis Kyritz</w:t>
      </w:r>
    </w:p>
    <w:p>
      <w:r>
        <w:t xml:space="preserve">ohne die Gemeinden des Amtes Gumtow,</w:t>
      </w:r>
    </w:p>
    <w:p>
      <w:r>
        <w:t xml:space="preserve">dem Kreis Neuruppin</w:t>
      </w:r>
    </w:p>
    <w:p>
      <w:r>
        <w:t xml:space="preserve">und dem Kreis Wittstock</w:t>
      </w:r>
    </w:p>
    <w:p>
      <w:r>
        <w:t xml:space="preserve">sowie den Gemeinden Blumenthal, Grabow und Rosenwinkel (Kreis Pritzwalk) und</w:t>
      </w:r>
    </w:p>
    <w:p>
      <w:r>
        <w:t xml:space="preserve">Keller (Kreis Gransee)</w:t>
      </w:r>
    </w:p>
    <w:p>
      <w:r>
        <w:t xml:space="preserve">gebildete Landkreis führt den Namen</w:t>
      </w:r>
    </w:p>
    <w:p>
      <w:r>
        <w:t xml:space="preserve">"Landkreis Ostprignitz-Ruppin" .</w:t>
      </w:r>
    </w:p>
    <w:p>
      <w:r>
        <w:rPr>
          <w:color w:val="555555"/>
          <w:sz w:val="17"/>
        </w:rPr>
        <w:t xml:space="preserve">Zitiervorschlag: § 1 OsRuG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https://recht.nulegal.eu/gesetze/OsRuG/1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