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(1) Die Erlaubnis nach § 1 ist auf Antrag zu erteilen, wenn der Antragsteller</w:t>
      </w:r>
    </w:p>
    <w:p>
      <w:pPr>
        <w:ind w:left="420"/>
      </w:pPr>
      <w:r>
        <w:t xml:space="preserve">1. die vorgeschriebene Ausbildung abgeleistet und die staatliche Prüfung bestanden hat (§ 4),</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Eine außerhalb des Geltungsbereichs dieses Gesetzes erworbene abgeschlossene Ausbildung erfüllt die Voraussetzungen des Absatzes 1 Nr. 1, wenn die Gleichwertigkeit des Ausbildungsstandes gegeben ist. In die Prüfung der Gleichwertigkeit des Ausbildungsstandes sind die in anderen Staaten absolvierten Ausbildungsgänge oder die in anderen Staaten erworbene Berufserfahrung einzubeziehen. Die Gleichwertigkeit des Ausbildungsstandes im Sinne des Satzes 1 wird anerkannt, wenn</w:t>
      </w:r>
    </w:p>
    <w:p>
      <w:pPr>
        <w:ind w:left="420"/>
      </w:pPr>
      <w:r>
        <w:t xml:space="preserve">1. die Antragsteller einen Ausbildungsnachweis vorlegen, aus dem sich ergibt, dass sie bereits in einem anderen Vertragsstaat des Europäischen Wirtschaftsraumes als Orthoptistin oder Orthoptist anerkannt wurden,</w:t>
      </w:r>
    </w:p>
    <w:p>
      <w:pPr>
        <w:ind w:left="420"/>
      </w:pPr>
      <w:r>
        <w:t xml:space="preserve">2. sie über eine dreijährige Berufserfahrung in der Orthoptik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Ausbildungs- und Prüfungsverordnung für Orthoptistinnen und Orthoptisten geregelten Ausbildung aufweist.</w:t>
      </w:r>
    </w:p>
    <w:p>
      <w:r>
        <w:t xml:space="preserve">Absatz 3 Satz 5 bis 7 gilt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 1 anstreben, gilt die Voraussetzung des Absatzes 1 Nr. 1 als erfüllt, wenn aus einem Europäischen Berufsausweis oder aus einem in einem anderen Vertragsstaat des Europäischen Wirtschaftsraumes erworbenen Diplom hervorgeht, dass der Inhaber eine Ausbildung erworben hat, die in diesem Staat für den unmittelbaren Zugang zu einem dem Beruf des Orthoptisten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Union auf Voll- oder Teilzeitbasis im Rahmen formaler oder nichtformaler Ausbildungsprogramme erworbenen Ausbildung bescheinigen, von diesem Mitgliedstaat als gleichwertig anerkannt wurden und in Bezug auf die Aufnahme oder Ausübung des Berufs des Orthoptisten dieselben Rechte verleihen oder auf die Ausübung des Berufs des Orthoptisten vorbereiten. Satz 2 gilt ferner für Berufsqualifikationen, die zwar nicht den Erfordernissen der Rechts- oder Verwaltungsvorschriften des Herkunftsmitgliedstaats für die Aufnahme oder Ausübung des Berufs des Orthoptisten entsprechen, ihrem Inhaber jedoch nach dem Recht des Herkunftsmitgliedstaats erworbene Rechte nach den dort maßgeblichen Vorschriften verleihen.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nach diesem Gesetz und nach der Ausbildungs- und Prüfungsverordnung für Orthoptistinnen und Orthoptisten vorgeschrieben sind, oder</w:t>
      </w:r>
    </w:p>
    <w:p>
      <w:pPr>
        <w:ind w:left="420"/>
      </w:pPr>
      <w:r>
        <w:t xml:space="preserve">2. der Beruf des Orthoptisten eine oder mehrere reglementierte Tätigkeiten umfasst, die im Herkunftsstaat des Antragstellers nicht Bestandteil des Berufs sind, der dem des Orthoptisten entspricht, und wenn sich die Ausbildung für diese Tätigkeiten auf Fächer oder Bereiche der praktischen Ausbildung nach diesem Gesetz und nach der Ausbildungs- und Prüfungsverordnung für Orthoptistinnen und Orthoptisten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Orthoptistenberufs in Deutschland sind. Wesentliche Unterschiede können ganz oder teilweise durch Kenntnisse und Fähigkeiten ausgeglichen werden, die der Antragsteller im Rahmen seiner tatsächlichen und rechtmäßigen Ausübung des Orthoptistenberufs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 Die Regelungen dieses Absatzes gelten entsprechend für den Fall der Einführung eines Europäischen Berufsausweises für den Beruf des Orthoptisten.</w:t>
      </w:r>
    </w:p>
    <w:p>
      <w:r>
        <w:t xml:space="preserve">(3a) Für Antragsteller, die über einen Ausbildungsnachweis verfügen, der dem in Artikel 11 Buchstabe a der Richtlinie 2005/36/EG genannten Niveau entspricht, gilt Absatz 3 Satz 5 bis 7 und 9 mit der Maßgabe, dass die erforderliche Ausgleichsmaßnahme abweichend von Absatz 3 Satz 8 aus einer Eignungsprüfung besteht.</w:t>
      </w:r>
    </w:p>
    <w:p>
      <w:r>
        <w:t xml:space="preserve">(3b) Wird die Voraussetzung des Absatzes 1 Nummer 1 auf eine Ausbildung gestützt, die außerhalb des Geltungsbereichs dieses Gesetzes abgeschlossen worden ist, soll die Gleichwertigkeit der Berufsqualifikation nach den Absätzen 2, 3 oder 3a vor den Voraussetzungen nach Absatz 1 Nummer 2 bis 4 geprüft werden. Auf Antrag ist dem Antragsteller ein gesonderter Bescheid über die Feststellung seiner Berufsqualifikation zu erteilen.</w:t>
      </w:r>
    </w:p>
    <w:p>
      <w:r>
        <w:t xml:space="preserve">(4) Die Absätze 3 und 3a gelten entsprechend für Drittstaatdiplome, für deren Anerkennung sich nach dem Recht der Europäischen Gemeinschaften eine Gleichstellung ergibt.</w:t>
      </w:r>
    </w:p>
    <w:p>
      <w:r>
        <w:t xml:space="preserve">(5) Das Berufsqualifikationsfeststellungsgesetz findet mit Ausnahme des § 17 keine Anwendung.</w:t>
      </w:r>
    </w:p>
    <w:p>
      <w:r>
        <w:t xml:space="preserve">(6) Die Länder können vereinbaren, dass die Aufgaben nach den Absätzen 2 bis 4 von einem anderen Land oder einer gemeinsamen Einrichtung wahrgenommen werden.</w:t>
      </w:r>
    </w:p>
    <w:p>
      <w:r>
        <w:t xml:space="preserve">(7) Die Bundesregierung überprüft die Regelungen zu den Anerkennungsverfahren nach diesem Gesetz und berichtet nach Ablauf von drei Jahren dem Deutschen Bundestag.</w:t>
      </w:r>
    </w:p>
    <w:p>
      <w:r>
        <w:rPr>
          <w:color w:val="555555"/>
          <w:sz w:val="17"/>
        </w:rPr>
        <w:t xml:space="preserve">Zitiervorschlag: § 2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