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11a OrthoptG</w:t>
      </w:r>
    </w:p>
    <w:p>
      <w:r>
        <w:rPr>
          <w:color w:val="555555"/>
          <w:sz w:val="18"/>
        </w:rPr>
        <w:t xml:space="preserve">Orthoptistengesetz</w:t>
      </w:r>
    </w:p>
    <w:p>
      <w:r>
        <w:rPr>
          <w:color w:val="555555"/>
          <w:sz w:val="18"/>
        </w:rPr>
        <w:t xml:space="preserve">Stand: 10.06.2019 (konsolidierte Textfassung, kein amtliches Inkrafttretensdatum)</w:t>
      </w:r>
    </w:p>
    <w:p>
      <w:r>
        <w:t xml:space="preserve">(1) Eine vor dem 1. September 1991 nach der Anordnung über die staatliche Erlaubnis zur Ausübung der medizinischen, pharmazeutischen und sozialen Fachschul- und Facharbeiterberufe vom 7. August 1980 (GBl. I Nr. 26 S. 254) erteilte Erlaubnis als Orthoptistin oder Orthoptist oder eine einer solchen Erlaubnis gleichgestellte Erlaubnis gilt als Erlaubnis nach § 1.</w:t>
      </w:r>
    </w:p>
    <w:p>
      <w:r>
        <w:t xml:space="preserve">(2) Eine vor dem 1. September 1991 in dem in Artikel 3 des Einigungsvertrages genannten Gebiet begonnene Ausbildung als Orthoptistin oder Orthoptist kann in diesem Gebiet nach den dort bisher geltenden Regeln abgeschlossen werden. Nach Abschluß der Ausbildung erhält der Antragsteller, wenn die Voraussetzungen des § 2 Abs. 1 Nr. 2 und 3 vorliegen, eine Erlaubnis nach § 1.</w:t>
      </w:r>
    </w:p>
    <w:p>
      <w:r>
        <w:rPr>
          <w:color w:val="555555"/>
          <w:sz w:val="17"/>
        </w:rPr>
        <w:t xml:space="preserve">Zitiervorschlag: § 11a OrthoptG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https://recht.nulegal.eu/gesetze/OrthoptG/11a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