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OrthoptG</w:t>
      </w:r>
    </w:p>
    <w:p>
      <w:r>
        <w:rPr>
          <w:color w:val="555555"/>
          <w:sz w:val="18"/>
        </w:rPr>
        <w:t xml:space="preserve">Orthoptistengesetz</w:t>
      </w:r>
    </w:p>
    <w:p>
      <w:r>
        <w:rPr>
          <w:color w:val="555555"/>
          <w:sz w:val="18"/>
        </w:rPr>
        <w:t xml:space="preserve">Stand: 10.06.2019 (konsolidierte Textfassung, kein amtliches Inkrafttretensdatum)</w:t>
      </w:r>
    </w:p>
    <w:p>
      <w:r>
        <w:t xml:space="preserve">(1) Wer die Berufsbezeichnung "Orthoptistin" oder "Orthoptist" führen will, bedarf der Erlaubnis.</w:t>
      </w:r>
    </w:p>
    <w:p>
      <w:r>
        <w:t xml:space="preserve">(2) Orthoptistinnen und Orthoptisten, die Staatsangehörige eines Vertragsstaates des Europäischen Wirtschaftsraumes sind, führen die Berufsbezeichnung nach Absatz 1 im Geltungsbereich dieses Gesetzes ohne Erlaubnis, sofern sie ihre Berufstätigkeit als vorübergehende und gelegentliche Dienstleistung im Sinne des Artikels 50 des EG-Vertrages im Geltungsbereich dieses Gesetzes ausüben. Sie unterliegen jedoch der Meldepflicht und Nachprüfung nach diesem Gesetz. Gleiches gilt für Drittstaaten und Drittstaatsangehörige, soweit sich hinsichtlich der Anerkennung von Ausbildungsnachweisen nach dem Recht der Europäischen Gemeinschaften eine Gleichstellung ergibt.</w:t>
      </w:r>
    </w:p>
    <w:p>
      <w:r>
        <w:rPr>
          <w:color w:val="555555"/>
          <w:sz w:val="17"/>
        </w:rPr>
        <w:t xml:space="preserve">Zitiervorschlag: § 1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