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OrthVersorgUVV</w:t>
      </w:r>
    </w:p>
    <w:p>
      <w:r>
        <w:rPr>
          <w:color w:val="555555"/>
          <w:sz w:val="18"/>
        </w:rPr>
        <w:t xml:space="preserve">Verordnung über die orthopädische Versorgung Unfallverletzter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564 der Reichsversicherungsordnung verordnet die Bundesregierung mit Zustimmung des Bundesrates:</w:t>
      </w:r>
    </w:p>
    <w:p>
      <w:r>
        <w:rPr>
          <w:color w:val="555555"/>
          <w:sz w:val="17"/>
        </w:rPr>
        <w:t xml:space="preserve">Zitiervorschlag: Eingangsformel OrthVersorgUVV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https://recht.nulegal.eu/gesetze/OrthVersorgUVV/eingangsformel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