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OrthVersorgUVV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Versicherte, denen infolge eines Versicherungsfalls außergewöhnlicher Verschleiß an Kleidung oder Wäsche entsteht, erhalten für die dadurch entstehenden Kosten einen monatlichen Pauschbetrag.</w:t>
      </w:r>
    </w:p>
    <w:p>
      <w:r>
        <w:t xml:space="preserve">(2) Übersteigen die tatsächlichen Aufwendungen den höchsten Pauschbetrag, so sind sie in besonderen Fällen erstattungsfähig.</w:t>
      </w:r>
    </w:p>
    <w:p>
      <w:r>
        <w:rPr>
          <w:color w:val="555555"/>
          <w:sz w:val="17"/>
        </w:rPr>
        <w:t xml:space="preserve">Zitiervorschlag: § 7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