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OrthV — Kosten für Maßkonfektion</w:t>
      </w:r>
    </w:p>
    <w:p>
      <w:r>
        <w:rPr>
          <w:color w:val="555555"/>
          <w:sz w:val="18"/>
        </w:rPr>
        <w:t xml:space="preserve">Orthopädieverordnung</w:t>
      </w:r>
    </w:p>
    <w:p>
      <w:r>
        <w:rPr>
          <w:color w:val="555555"/>
          <w:sz w:val="18"/>
        </w:rPr>
        <w:t xml:space="preserve">Historische Fassung: Stand 10.06.2019 bis 01.01.2024. Dies ist nicht die aktuelle Fassung.</w:t>
      </w:r>
    </w:p>
    <w:p>
      <w:r>
        <w:t xml:space="preserve">Für die Anfertigung von Maßkonfektionskleidung und Maßkleidung werden Mehrkosten im notwendigen Umfang bis zu 307 Euro jährlich übernommen, wenn eine Änderung von Konfektionskleidung nicht ausreicht, um eine wesentliche Deformierung des Rumpfes auszugleichen; das Tragen eines Hilfsmittels am Rumpf kann einer wesentlichen Deformierung gleichgesetzt werden.</w:t>
      </w:r>
    </w:p>
    <w:p>
      <w:r>
        <w:rPr>
          <w:color w:val="555555"/>
          <w:sz w:val="17"/>
        </w:rPr>
        <w:t xml:space="preserve">Zitiervorschlag: § 38 OrthV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