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35 OrthV — Zuschüsse für Blindenführhundzwinger</w:t>
      </w:r>
    </w:p>
    <w:p>
      <w:r>
        <w:rPr>
          <w:color w:val="555555"/>
          <w:sz w:val="18"/>
        </w:rPr>
        <w:t xml:space="preserve">Orthopädieverordnung</w:t>
      </w:r>
    </w:p>
    <w:p>
      <w:r>
        <w:rPr>
          <w:color w:val="555555"/>
          <w:sz w:val="18"/>
        </w:rPr>
        <w:t xml:space="preserve">Historische Fassung: Stand 10.06.2019 bis 01.01.2024. Dies ist nicht die aktuelle Fassung.</w:t>
      </w:r>
    </w:p>
    <w:p>
      <w:r>
        <w:t xml:space="preserve">Zu den Herstellungskosten eines Blindenführhundzwingers kann ein Zuschuß bis zu 435 Euro gezahlt werden. Ein Zuschuß zu den Kosten eines neuen Zwingers darf frühestens nach fünf Jahren, bei Wohnungswechsel auch eher gezahlt werden.</w:t>
      </w:r>
    </w:p>
    <w:p>
      <w:r>
        <w:rPr>
          <w:color w:val="555555"/>
          <w:sz w:val="17"/>
        </w:rPr>
        <w:t xml:space="preserve">Zitiervorschlag: § 35 OrthV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https://recht.nulegal.eu/gesetze/OrthV/35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