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OrthV — Zuschüsse für Fahrräder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Ein Zuschuß bis zu 153 Euro zur Beschaffung eines Fahrrades kann den in § 23 Abs. 1 genannten Beschädigten gezahlt werden, wenn sie sich mit dem Fahrrad ihren Bedürfnissen entsprechend fortbewegen können. Den Zuschuß erhält nicht, wer einen Rollstuhl für den Straßengebrauch oder ein Behindertenfahrrad nach § 12 oder einen Zuschuß nach § 23 in Anspruch genommen hat. Zur Beschaffung eines gebrauchten Fahrrades wird ein Zuschuß nicht gezahlt. § 24 Abs. 1 und 3 und § 25 gelten entsprechend; die Frist in § 25 Satz 2 beginnt mit der Auszahlung des Zuschusses.</w:t>
      </w:r>
    </w:p>
    <w:p>
      <w:r>
        <w:t xml:space="preserve">(2) Zur Instandhaltung eines Fahrrades wird je Kalenderjahr ein Pauschbetrag von 31 Euro gezahlt; § 26 Abs. 2 gilt entsprechend.</w:t>
      </w:r>
    </w:p>
    <w:p>
      <w:r>
        <w:rPr>
          <w:color w:val="555555"/>
          <w:sz w:val="17"/>
        </w:rPr>
        <w:t xml:space="preserve">Zitiervorschlag: § 34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