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32 OrthV — Zuschüsse und Kosten bei gemieteten Motorfahrzeugen</w:t>
      </w:r>
    </w:p>
    <w:p>
      <w:r>
        <w:rPr>
          <w:color w:val="555555"/>
          <w:sz w:val="18"/>
        </w:rPr>
        <w:t xml:space="preserve">Orthopädieverordnung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(1) Zuschüsse und Kostenübernahmen sind in entsprechender Anwendung der §§ 23 bis 31 auch bei gemieteten Motorfahrzeugen zulässig.</w:t>
      </w:r>
    </w:p>
    <w:p>
      <w:r>
        <w:t xml:space="preserve">(2) Ist das Fahrzeug für weniger als fünf Jahre gemietet, werden einmalige Leistungen nach Absatz 1 so berechnet, daß sich je volles Vierteljahr der Vertragsdauer ein Zwanzigstel der Leistungen nach den §§ 23, 27 und 28 sowie ein Vierzigstel der Leistung nach § 31 Satz 2 ergibt. Der Rest der Leistung nach diesen Vorschriften wird gezahlt, wenn der Beschädigte das Fahrzeug bei Ablauf der Miete kauft.</w:t>
      </w:r>
    </w:p>
    <w:p>
      <w:r>
        <w:rPr>
          <w:color w:val="555555"/>
          <w:sz w:val="17"/>
        </w:rPr>
        <w:t xml:space="preserve">Zitiervorschlag: § 32 OrthV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https://recht.nulegal.eu/gesetze/OrthV/32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