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OrthV — Instandsetzungskosten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notwendigen Kosten für Instandsetzungen werden</w:t>
      </w:r>
    </w:p>
    <w:p>
      <w:r>
        <w:rPr>
          <w:rFonts w:ascii="Courier New" w:hAnsi="Courier New"/>
          <w:sz w:val="17"/>
        </w:rPr>
        <w:t xml:space="preserve">1.    bei Zusatzgeräten (§ 27 Abs. 1 Nr. 1 und 3) bis zu    716 Euro,</w:t>
      </w:r>
    </w:p>
    <w:p>
      <w:r>
        <w:rPr>
          <w:rFonts w:ascii="Courier New" w:hAnsi="Courier New"/>
          <w:sz w:val="17"/>
        </w:rPr>
        <w:t xml:space="preserve">2.    bei automatischen Getrieben oder ähnlichen Vorrichtungen (§ 27 Abs. 1 Nr. 2) bis zu    1.432 Euro,</w:t>
      </w:r>
    </w:p>
    <w:p>
      <w:r>
        <w:rPr>
          <w:rFonts w:ascii="Courier New" w:hAnsi="Courier New"/>
          <w:sz w:val="17"/>
        </w:rPr>
        <w:t xml:space="preserve">3.    bei Änderungen nach § 28 bis zu    1.432 Euro,</w:t>
      </w:r>
    </w:p>
    <w:p>
      <w:r>
        <w:t xml:space="preserve">innerhalb von jeweils fünf Jahren übernommen, wenn die Voraussetzungen für die Übernahme der Kosten nach § 27 oder § 28 vorliegen. Instandsetzungskosten, die auch ohne die Änderung nach § 28 entstanden wären, werden nicht übernommen.</w:t>
      </w:r>
    </w:p>
    <w:p>
      <w:r>
        <w:rPr>
          <w:color w:val="555555"/>
          <w:sz w:val="17"/>
        </w:rPr>
        <w:t xml:space="preserve">Zitiervorschlag: § 29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