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OrthV — Zuschüsse für Motorfahrzeuge</w:t>
      </w:r>
    </w:p>
    <w:p>
      <w:r>
        <w:rPr>
          <w:color w:val="555555"/>
          <w:sz w:val="18"/>
        </w:rPr>
        <w:t xml:space="preserve">Orthopädieverordnung</w:t>
      </w:r>
    </w:p>
    <w:p>
      <w:r>
        <w:rPr>
          <w:color w:val="555555"/>
          <w:sz w:val="18"/>
        </w:rPr>
        <w:t xml:space="preserve">Historische Fassung: Stand 10.06.2019 bis 01.01.2024. Dies ist nicht die aktuelle Fassung.</w:t>
      </w:r>
    </w:p>
    <w:p>
      <w:r>
        <w:t xml:space="preserve">(1) Zur Beschaffung eines auf den Namen des Beschädigten zugelassenen Motorfahrzeugs können folgende Zuschüsse gezahlt werden:</w:t>
      </w:r>
    </w:p>
    <w:p>
      <w:pPr>
        <w:ind w:left="420"/>
      </w:pPr>
      <w:r>
        <w:t xml:space="preserve">1. bis zu 3.579 Euro an Querschnittgelähmte, Vier- und Dreifachamputierte, Doppel-Oberschenkelamputierte und an andere Beschädigte, die gleich schwer gehbehindert sind oder Pflegezulage nach Stufe V oder VI (§ 35 des Bundesversorgungsgesetzes) erhalten,</w:t>
      </w:r>
    </w:p>
    <w:p>
      <w:pPr>
        <w:ind w:left="420"/>
      </w:pPr>
      <w:r>
        <w:t xml:space="preserve">2. bis zu 3.068 Euro an Doppel-Unterschenkelamputierte und Hüftexartikulierte sowie an einseitig Beinamputierte, die</w:t>
      </w:r>
    </w:p>
    <w:p>
      <w:pPr>
        <w:ind w:left="780"/>
      </w:pPr>
      <w:r>
        <w:t xml:space="preserve">a) dauernd außerstande sind, eine Beinprothese zu tragen oder</w:t>
      </w:r>
    </w:p>
    <w:p>
      <w:pPr>
        <w:ind w:left="780"/>
      </w:pPr>
      <w:r>
        <w:t xml:space="preserve">b) nur eine Beckenkorbprothese tragen können oder</w:t>
      </w:r>
    </w:p>
    <w:p>
      <w:pPr>
        <w:ind w:left="780"/>
      </w:pPr>
      <w:r>
        <w:t xml:space="preserve">c) zugleich armamputiert sind,</w:t>
      </w:r>
    </w:p>
    <w:p>
      <w:pPr>
        <w:ind w:left="420"/>
      </w:pPr>
      <w:r>
        <w:t xml:space="preserve">und an andere Beschädigte, die gleich schwer gehbehindert sind oder Pflegezulage nach Stufe III oder IV (§ 35 des Bundesversorgungsgesetzes) erhalten.</w:t>
      </w:r>
    </w:p>
    <w:p>
      <w:r>
        <w:t xml:space="preserve">(2) Einen Zuschuß nach Absatz 1 erhält nicht, wer einen Rollstuhl für den Straßengebrauch oder ein Behindertenfahrrad nach § 12 oder einen Zuschuß nach § 34 in Anspruch genommen hat; in § 12 Abs. 2 genannte Beschädigte können den Zuschuß anstelle eines der beiden Rollstühle für den Straßengebrauch erhalten.</w:t>
      </w:r>
    </w:p>
    <w:p>
      <w:r>
        <w:t xml:space="preserve">(3) Der Zuschuß darf nur zur Beschaffung eines Motorfahrzeugs gezahlt werden, das nach seiner Konstruktion zur Personenbeförderung bestimmt ist und das nicht überwiegend gewerblich genutzt werden soll.</w:t>
      </w:r>
    </w:p>
    <w:p>
      <w:r>
        <w:t xml:space="preserve">(4) Der Zuschuß zur Beschaffung eines gebrauchten Motorfahrzeugs darf gezahlt werden, wenn es mindestens 40 vom Hundert des Neuwerts besitzt.</w:t>
      </w:r>
    </w:p>
    <w:p>
      <w:r>
        <w:t xml:space="preserve">(5) Kann der Beschädigte das Motorfahrzeug nicht selbst führen, darf der Zuschuß nur gezahlt werden, wenn ein Dritter bestimmt ist, der als Führer des Motorfahrzeugs in angemessenem Umfang für Fahrten mit dem Beschädigten zur Verfügung steht.</w:t>
      </w:r>
    </w:p>
    <w:p>
      <w:r>
        <w:rPr>
          <w:color w:val="555555"/>
          <w:sz w:val="17"/>
        </w:rPr>
        <w:t xml:space="preserve">Zitiervorschlag: § 23 OrthV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