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OrthV — Instandsetzung und Ersatz von Hilfsmitteln</w:t>
      </w:r>
    </w:p>
    <w:p>
      <w:r>
        <w:rPr>
          <w:color w:val="555555"/>
          <w:sz w:val="18"/>
        </w:rPr>
        <w:t xml:space="preserve">Orthopädieverordnung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(1) Für die Instandsetzung und den Ersatz gelten dieselben Grundsätze wie für die Ausstattung mit Hilfsmitteln. Die Kosten einer durch gewöhnliche Abnutzung erforderlichen Besohlung werden nicht übernommen.</w:t>
      </w:r>
    </w:p>
    <w:p>
      <w:r>
        <w:t xml:space="preserve">(2) Hat der Benutzer Beschädigung, Unbrauchbarkeit oder Verlust eines Hilfsmittels vorsätzlich oder grobfahrlässig herbeigeführt, so besteht für die restliche Gebrauchszeit kein Anspruch auf Instandsetzung oder Ersatz.</w:t>
      </w:r>
    </w:p>
    <w:p>
      <w:r>
        <w:rPr>
          <w:color w:val="555555"/>
          <w:sz w:val="17"/>
        </w:rPr>
        <w:t xml:space="preserve">Zitiervorschlag: § 20 OrthV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https://recht.nulegal.eu/gesetze/OrthV/20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