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OrthV — Blindenführhunde</w:t>
      </w:r>
    </w:p>
    <w:p>
      <w:r>
        <w:rPr>
          <w:color w:val="555555"/>
          <w:sz w:val="18"/>
        </w:rPr>
        <w:t xml:space="preserve">Orthopädieverordnung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(1) Die Kosten für tierärztliche Behandlung eines Blindenführhundes sowie für Arznei- und Verbandmittel werden im notwendigen Umfang erstattet. Nachdressuren können bewilligt werden.</w:t>
      </w:r>
    </w:p>
    <w:p>
      <w:r>
        <w:t xml:space="preserve">(2) Bei Mißbrauch, Vernachlässigung oder Mißhandlung kann der Führhund entzogen werden.</w:t>
      </w:r>
    </w:p>
    <w:p>
      <w:r>
        <w:t xml:space="preserve">(3) Der Führhund und das Geschirr sind zurückzufordern, wenn der Hund auf Dauer entbehrlich oder nicht mehr geeignet ist; auf die Rückforderung kann verzichtet werden.</w:t>
      </w:r>
    </w:p>
    <w:p>
      <w:r>
        <w:rPr>
          <w:color w:val="555555"/>
          <w:sz w:val="17"/>
        </w:rPr>
        <w:t xml:space="preserve">Zitiervorschlag: § 19 OrthV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