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OrthV — Behinderungsgerechte Ausstattungen</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(1) Fest installierte behinderungsgerechte Sanitärausstattungen erhalten Ohnhänder, Querschnittgelähmte, Beinamputierte und gleich schwer behinderte Menschen, wenn sie dringend darauf angewiesen sind.</w:t>
      </w:r>
    </w:p>
    <w:p>
      <w:r>
        <w:t xml:space="preserve">(2) Haltegriffe und Handläufe erhält, wer wegen wesentlicher Einschränkung seiner Gehfähigkeit dringend in seiner Wohnung auf sie angewiesen ist und für den Gehhilfen (§ 11) nicht ausreichen.</w:t>
      </w:r>
    </w:p>
    <w:p>
      <w:r>
        <w:t xml:space="preserve">(3) Die Lieferung umfaßt auch den Einbau. Ersatzbeschaffungen werden frühestens nach zehn Jahren, bei Wohnungswechsel auch eher wieder übernommen. Für Sanitärausstattungen werden nach Wohnungswechsel oder Tod auch der Ausbau und die Wiederherstellung des alten Zustands übernommen.</w:t>
      </w:r>
    </w:p>
    <w:p>
      <w:r>
        <w:rPr>
          <w:color w:val="555555"/>
          <w:sz w:val="17"/>
        </w:rPr>
        <w:t xml:space="preserve">Zitiervorschlag: § 18a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https://recht.nulegal.eu/gesetze/OrthV/18a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