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17a OrthV — Kommunikationshilfen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Schwersthörgeschädigte erhalten Geräte, die Sprache in lesbare Texte umsetzen, wenn sie bei nichtberuflichen Verrichtungen im täglichen Leben dringend auf sie angewiesen sind.</w:t>
      </w:r>
    </w:p>
    <w:p>
      <w:r>
        <w:t xml:space="preserve">(2) Blinde und hochgradig sehbehinderte Menschen erhalten Geräte, die Texte in Sprache umsetzen, wenn sie bei nichtberuflichen Verrichtungen im täglichen Leben dringend darauf angewiesen sind.</w:t>
      </w:r>
    </w:p>
    <w:p>
      <w:r>
        <w:t xml:space="preserve">(3) Hochgradig Sprech- oder Sprachgestörte erhalten Hilfsgeräte zur Verständigung, wenn diese dadurch erheblich verbessert werden kann.</w:t>
      </w:r>
    </w:p>
    <w:p>
      <w:r>
        <w:t xml:space="preserve">(4) Blinde, Querschnittgelähmte und Schwersthörgeschädigte sowie gleich schwer behinderte Menschen erhalten Geräte der häuslichen Kommunikation, wenn sie auf ihre Benutzung dringend angewiesen sind.</w:t>
      </w:r>
    </w:p>
    <w:p>
      <w:r>
        <w:rPr>
          <w:color w:val="555555"/>
          <w:sz w:val="17"/>
        </w:rPr>
        <w:t xml:space="preserve">Zitiervorschlag: § 17a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https://recht.nulegal.eu/gesetze/OrthV/17a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