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OrthV — Ergänzungen zu Hilfsmitteln</w:t>
      </w:r>
    </w:p>
    <w:p>
      <w:r>
        <w:rPr>
          <w:color w:val="555555"/>
          <w:sz w:val="18"/>
        </w:rPr>
        <w:t xml:space="preserve">Orthopädieverordnung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Ergänzend zu Hilfsmitteln werden geliefert</w:t>
      </w:r>
    </w:p>
    <w:p>
      <w:pPr>
        <w:ind w:left="420"/>
      </w:pPr>
      <w:r>
        <w:t xml:space="preserve">1. kosmetische Bedarfsartikel für Träger von Gesichtsersatzstücken oder von Perücken,</w:t>
      </w:r>
    </w:p>
    <w:p>
      <w:pPr>
        <w:ind w:left="420"/>
      </w:pPr>
      <w:r>
        <w:t xml:space="preserve">2. Gummistrümpfe als Beinprothesenüberzug,</w:t>
      </w:r>
    </w:p>
    <w:p>
      <w:pPr>
        <w:ind w:left="420"/>
      </w:pPr>
      <w:r>
        <w:t xml:space="preserve">3. Trikotschlauchbinden für Prothesenträger,</w:t>
      </w:r>
    </w:p>
    <w:p>
      <w:pPr>
        <w:ind w:left="420"/>
      </w:pPr>
      <w:r>
        <w:t xml:space="preserve">4. Maßleibbinden, Zurichtungen von Kleidungsstücken und besondere Kleidungsstücke, wenn dies zum Tragen von Körperersatzstücken oder orthopädischen Hilfsmitteln notwendig ist.</w:t>
      </w:r>
    </w:p>
    <w:p>
      <w:r>
        <w:t xml:space="preserve">Satz 1 Nr. 1 gilt für kosmetische Bedarfsartikel, die Personen mit erheblichen Gesichtsentstellungen benötigen, und für das Frisieren von Perücken entsprechend.</w:t>
      </w:r>
    </w:p>
    <w:p>
      <w:r>
        <w:rPr>
          <w:color w:val="555555"/>
          <w:sz w:val="17"/>
        </w:rPr>
        <w:t xml:space="preserve">Zitiervorschlag: § 15 OrthV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