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OrthSchMstrV</w:t>
      </w:r>
    </w:p>
    <w:p>
      <w:r>
        <w:rPr>
          <w:color w:val="555555"/>
          <w:sz w:val="18"/>
        </w:rPr>
        <w:t xml:space="preserve">Orthopädieschuhmachermeisterverordnung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45 Abs. 1 der Handwerksordnung in der Fassung der Bekanntmachung vom 24. September 1998 (BGBl. I S. 3074, 2006 I S. 2095), der zuletzt durch Artikel 146 der Verordnung vom 31. Oktober 2006 (BGBl. I S. 2407) geändert worden ist,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OrthSchMstrV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https://recht.nulegal.eu/gesetze/OrthSchMstrV/eingangsformel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