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OrthBandMstrV</w:t>
      </w:r>
    </w:p>
    <w:p>
      <w:r>
        <w:rPr>
          <w:color w:val="555555"/>
          <w:sz w:val="18"/>
        </w:rPr>
        <w:t xml:space="preserve">Orthopädiemechaniker- und Bandagistenmeisterverordnung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45 der Handwerksordnung in der Fassung der Bekanntmachung vom 28. Dezember 1965 (BGBl. 1966 I S. 1), der zuletzt durch Artikel 24 Nr. 1 des Gesetzes vom 18. März 1975 (BGBl. I S. 705) geändert worden ist, verordnet das Bundesministerium für Wirtschaft im Einvernehmen mit dem Bundesministerium für Bildung und Wissenschaft:</w:t>
      </w:r>
    </w:p>
    <w:p>
      <w:r>
        <w:rPr>
          <w:color w:val="555555"/>
          <w:sz w:val="17"/>
        </w:rPr>
        <w:t xml:space="preserve">Zitiervorschlag: Eingangsformel OrthBandMstrV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https://recht.nulegal.eu/gesetze/OrthBandMstrV/eingangsformel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