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OrthAusbVO — Struktur der Berufsausbildung</w:t>
      </w:r>
    </w:p>
    <w:p>
      <w:r>
        <w:rPr>
          <w:color w:val="555555"/>
          <w:sz w:val="18"/>
        </w:rPr>
        <w:t xml:space="preserve">Orthopädieausbildungsverordnung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 gemeinsame Ausbildungsinhalte und die Ausbildung in einem der Schwerpunkte</w:t>
      </w:r>
    </w:p>
    <w:p>
      <w:pPr>
        <w:ind w:left="420"/>
      </w:pPr>
      <w:r>
        <w:t xml:space="preserve">1. Prothetik,</w:t>
      </w:r>
    </w:p>
    <w:p>
      <w:pPr>
        <w:ind w:left="420"/>
      </w:pPr>
      <w:r>
        <w:t xml:space="preserve">2. Individuelle Orthetik oder</w:t>
      </w:r>
    </w:p>
    <w:p>
      <w:pPr>
        <w:ind w:left="420"/>
      </w:pPr>
      <w:r>
        <w:t xml:space="preserve">3. Individuelle Rehabilitationstechnik.</w:t>
      </w:r>
    </w:p>
    <w:p>
      <w:r>
        <w:rPr>
          <w:color w:val="555555"/>
          <w:sz w:val="17"/>
        </w:rPr>
        <w:t xml:space="preserve">Zitiervorschlag: § 3 OrthAusbVO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https://recht.nulegal.eu/gesetze/OrthAusbVO/3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