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OrgWasV (Bayern)</w:t>
      </w:r>
    </w:p>
    <w:p>
      <w:r>
        <w:rPr>
          <w:color w:val="555555"/>
          <w:sz w:val="18"/>
        </w:rPr>
        <w:t xml:space="preserve">Verordnung über die Einrichtung und Organisation der staatlichen Behörden für die Wasserwirtschaft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2006 in Kraft.</w:t>
      </w:r>
    </w:p>
    <w:p>
      <w:r>
        <w:rPr>
          <w:color w:val="555555"/>
          <w:sz w:val="17"/>
        </w:rPr>
        <w:t xml:space="preserve">Zitiervorschlag: § 3 OrgWasV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https://recht.nulegal.eu/gesetze/OrgWasV/3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